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6801C195"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5066FF">
        <w:rPr>
          <w:rFonts w:cs="Arial"/>
          <w:szCs w:val="22"/>
        </w:rPr>
        <w:t xml:space="preserve">7     </w:t>
      </w:r>
      <w:r w:rsidR="0010371F">
        <w:rPr>
          <w:rFonts w:cs="Arial"/>
          <w:szCs w:val="22"/>
        </w:rPr>
        <w:t xml:space="preserve">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sidR="005E7B01">
        <w:rPr>
          <w:rFonts w:eastAsia="宋体" w:hint="eastAsia"/>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FD5585" w:rsidRPr="001D717A">
        <w:t>R4-</w:t>
      </w:r>
      <w:r w:rsidR="002A3907" w:rsidRPr="002A3907">
        <w:t>230</w:t>
      </w:r>
      <w:r w:rsidR="006E0141">
        <w:t>8949</w:t>
      </w:r>
      <w:bookmarkStart w:id="2" w:name="_GoBack"/>
      <w:bookmarkEnd w:id="2"/>
    </w:p>
    <w:p w14:paraId="1DC1B158" w14:textId="6D8D6C67" w:rsidR="00675C27" w:rsidRPr="00444A16" w:rsidRDefault="005066FF" w:rsidP="00F71A33">
      <w:pPr>
        <w:pStyle w:val="afb"/>
        <w:rPr>
          <w:rFonts w:eastAsia="宋体"/>
          <w:lang w:eastAsia="zh-CN"/>
        </w:rPr>
      </w:pPr>
      <w:r>
        <w:rPr>
          <w:rFonts w:eastAsia="宋体"/>
          <w:lang w:eastAsia="zh-CN"/>
        </w:rPr>
        <w:t xml:space="preserve">Incheon, Korea, May 22 – 26, </w:t>
      </w:r>
      <w:r w:rsidR="00BC03F2">
        <w:rPr>
          <w:rFonts w:eastAsia="宋体"/>
          <w:lang w:eastAsia="zh-CN"/>
        </w:rPr>
        <w:t>2023</w:t>
      </w:r>
    </w:p>
    <w:p w14:paraId="2ABD4DE5" w14:textId="77777777" w:rsidR="00F71A33" w:rsidRPr="00F71A33" w:rsidRDefault="00F71A33" w:rsidP="00F71A33">
      <w:pPr>
        <w:pStyle w:val="afb"/>
        <w:rPr>
          <w:rFonts w:eastAsia="宋体"/>
          <w:lang w:eastAsia="zh-CN"/>
        </w:rPr>
      </w:pPr>
    </w:p>
    <w:p w14:paraId="3B620443"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3A4A4F6A" w14:textId="567EF38E"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96A80">
        <w:rPr>
          <w:rFonts w:ascii="Arial" w:hAnsi="Arial" w:cs="Arial"/>
          <w:sz w:val="22"/>
        </w:rPr>
        <w:t>O</w:t>
      </w:r>
      <w:r w:rsidR="00D02F4C">
        <w:rPr>
          <w:rFonts w:ascii="Arial" w:hAnsi="Arial" w:cs="Arial"/>
          <w:sz w:val="22"/>
        </w:rPr>
        <w:t xml:space="preserve">n </w:t>
      </w:r>
      <w:r w:rsidR="00553EA7" w:rsidRPr="00553EA7">
        <w:rPr>
          <w:rFonts w:ascii="Arial" w:hAnsi="Arial" w:cs="Arial"/>
          <w:sz w:val="22"/>
        </w:rPr>
        <w:t>enhancement</w:t>
      </w:r>
      <w:r w:rsidR="005E7B01">
        <w:rPr>
          <w:rFonts w:ascii="Arial" w:hAnsi="Arial" w:cs="Arial"/>
          <w:sz w:val="22"/>
        </w:rPr>
        <w:t>s of increasing UE power high limit</w:t>
      </w:r>
      <w:r w:rsidR="00B76FBB">
        <w:rPr>
          <w:rFonts w:ascii="Arial" w:hAnsi="Arial" w:cs="Arial"/>
          <w:sz w:val="22"/>
        </w:rPr>
        <w:t xml:space="preserve"> for CA and DC</w:t>
      </w:r>
    </w:p>
    <w:p w14:paraId="4FD55D83" w14:textId="4294ACEB"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D32C2B">
        <w:rPr>
          <w:rFonts w:ascii="Arial" w:hAnsi="Arial" w:cs="Arial"/>
          <w:sz w:val="22"/>
        </w:rPr>
        <w:t>8</w:t>
      </w:r>
      <w:r w:rsidR="008D4B0B">
        <w:rPr>
          <w:rFonts w:ascii="Arial" w:hAnsi="Arial" w:cs="Arial"/>
          <w:sz w:val="22"/>
        </w:rPr>
        <w:t>.</w:t>
      </w:r>
      <w:r w:rsidR="00186BF2">
        <w:rPr>
          <w:rFonts w:ascii="Arial" w:hAnsi="Arial" w:cs="Arial"/>
          <w:sz w:val="22"/>
        </w:rPr>
        <w:t>28</w:t>
      </w:r>
      <w:r w:rsidR="00B76FBB">
        <w:rPr>
          <w:rFonts w:ascii="Arial" w:hAnsi="Arial" w:cs="Arial"/>
          <w:sz w:val="22"/>
        </w:rPr>
        <w:t>.1</w:t>
      </w:r>
    </w:p>
    <w:p w14:paraId="477159C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5E8717B7" w14:textId="4CB62C40" w:rsidR="004B5218" w:rsidRDefault="00577C51" w:rsidP="00AB1467">
      <w:pPr>
        <w:jc w:val="both"/>
      </w:pPr>
      <w:r>
        <w:t xml:space="preserve">In </w:t>
      </w:r>
      <w:r w:rsidR="00EE3804">
        <w:t>previous meeting, opinion</w:t>
      </w:r>
      <w:r w:rsidR="00190C6F">
        <w:t>s</w:t>
      </w:r>
      <w:r w:rsidR="00EE3804">
        <w:t xml:space="preserve"> on </w:t>
      </w:r>
      <w:r w:rsidR="00DE513D">
        <w:t>whether</w:t>
      </w:r>
      <w:r w:rsidR="00DE513D" w:rsidRPr="00DE513D">
        <w:t xml:space="preserve"> </w:t>
      </w:r>
      <w:r w:rsidR="00DE513D">
        <w:t>and how to consider SAR issue mitigation enhancement ha</w:t>
      </w:r>
      <w:r w:rsidR="00190C6F">
        <w:t>ve</w:t>
      </w:r>
      <w:r w:rsidR="00DE513D">
        <w:t xml:space="preserve"> been</w:t>
      </w:r>
      <w:r w:rsidR="00EE3804">
        <w:t xml:space="preserve"> further</w:t>
      </w:r>
      <w:r w:rsidR="00DE513D">
        <w:t xml:space="preserve"> </w:t>
      </w:r>
      <w:r w:rsidR="00EE3804">
        <w:t>exchanged among companies</w:t>
      </w:r>
      <w:r w:rsidR="00DE513D">
        <w:t xml:space="preserve">. The FFS points from WF [1] are excerpted as below: </w:t>
      </w:r>
    </w:p>
    <w:tbl>
      <w:tblPr>
        <w:tblStyle w:val="af8"/>
        <w:tblW w:w="0" w:type="auto"/>
        <w:tblLook w:val="04A0" w:firstRow="1" w:lastRow="0" w:firstColumn="1" w:lastColumn="0" w:noHBand="0" w:noVBand="1"/>
      </w:tblPr>
      <w:tblGrid>
        <w:gridCol w:w="9631"/>
      </w:tblGrid>
      <w:tr w:rsidR="00506193" w14:paraId="1974A02A" w14:textId="77777777" w:rsidTr="00506193">
        <w:tc>
          <w:tcPr>
            <w:tcW w:w="9631" w:type="dxa"/>
          </w:tcPr>
          <w:p w14:paraId="1EE3746C" w14:textId="7C7D049D" w:rsidR="00516CBC" w:rsidRPr="00516CBC" w:rsidRDefault="00516CBC" w:rsidP="00516CBC">
            <w:pPr>
              <w:pStyle w:val="2"/>
              <w:numPr>
                <w:ilvl w:val="0"/>
                <w:numId w:val="0"/>
              </w:numPr>
              <w:spacing w:after="240"/>
              <w:outlineLvl w:val="1"/>
              <w:rPr>
                <w:rFonts w:ascii="Times New Roman" w:hAnsi="Times New Roman"/>
                <w:b/>
                <w:sz w:val="20"/>
                <w:u w:val="single"/>
                <w:lang w:eastAsia="ko-KR"/>
              </w:rPr>
            </w:pPr>
            <w:r w:rsidRPr="00516CBC">
              <w:rPr>
                <w:rFonts w:ascii="Times New Roman" w:hAnsi="Times New Roman"/>
                <w:b/>
                <w:sz w:val="20"/>
                <w:u w:val="single"/>
                <w:lang w:eastAsia="ko-KR"/>
              </w:rPr>
              <w:t>Issue 1: Whether to introduce PHR reporting for the carrier that is configured for DL but no UL</w:t>
            </w:r>
          </w:p>
          <w:p w14:paraId="16F6103B" w14:textId="77777777" w:rsidR="00516CBC" w:rsidRPr="008166B0" w:rsidRDefault="00516CBC" w:rsidP="00516CBC">
            <w:pPr>
              <w:widowControl w:val="0"/>
              <w:tabs>
                <w:tab w:val="num" w:pos="1440"/>
                <w:tab w:val="num" w:pos="1701"/>
              </w:tabs>
              <w:spacing w:beforeLines="50" w:before="120"/>
            </w:pPr>
            <w:r w:rsidRPr="008166B0">
              <w:rPr>
                <w:b/>
              </w:rPr>
              <w:t>&lt;</w:t>
            </w:r>
            <w:r w:rsidRPr="008B6A62">
              <w:rPr>
                <w:b/>
              </w:rPr>
              <w:t xml:space="preserve"> </w:t>
            </w:r>
            <w:r>
              <w:rPr>
                <w:b/>
              </w:rPr>
              <w:t>Agreement</w:t>
            </w:r>
            <w:r w:rsidRPr="008166B0">
              <w:rPr>
                <w:b/>
              </w:rPr>
              <w:t xml:space="preserve"> &gt;</w:t>
            </w:r>
            <w:r>
              <w:t>:</w:t>
            </w:r>
            <w:r w:rsidRPr="008166B0">
              <w:t xml:space="preserve"> </w:t>
            </w:r>
          </w:p>
          <w:p w14:paraId="78D9555D" w14:textId="77777777" w:rsidR="00516CBC" w:rsidRDefault="00516CBC" w:rsidP="00516CBC">
            <w:pPr>
              <w:widowControl w:val="0"/>
              <w:spacing w:beforeLines="50" w:before="120"/>
            </w:pPr>
            <w:r>
              <w:t>FFS whether to introduce PHR reporting for the carrier that is configured for DL but no UL.</w:t>
            </w:r>
          </w:p>
          <w:p w14:paraId="141E8120" w14:textId="0741A371" w:rsidR="00941EF7" w:rsidRPr="00941EF7" w:rsidRDefault="00516CBC" w:rsidP="00941EF7">
            <w:pPr>
              <w:pStyle w:val="aff6"/>
              <w:numPr>
                <w:ilvl w:val="0"/>
                <w:numId w:val="43"/>
              </w:numPr>
              <w:overflowPunct w:val="0"/>
              <w:autoSpaceDE w:val="0"/>
              <w:autoSpaceDN w:val="0"/>
              <w:adjustRightInd w:val="0"/>
              <w:spacing w:beforeLines="50" w:before="120" w:after="180"/>
              <w:ind w:firstLineChars="0"/>
              <w:jc w:val="left"/>
              <w:textAlignment w:val="baseline"/>
              <w:rPr>
                <w:rFonts w:ascii="Times New Roman" w:hAnsi="Times New Roman"/>
                <w:kern w:val="0"/>
                <w:sz w:val="20"/>
                <w:szCs w:val="20"/>
                <w:lang w:val="en-GB" w:eastAsia="zh-CN"/>
              </w:rPr>
            </w:pPr>
            <w:r w:rsidRPr="00516CBC">
              <w:rPr>
                <w:rFonts w:ascii="Times New Roman" w:hAnsi="Times New Roman"/>
                <w:kern w:val="0"/>
                <w:sz w:val="20"/>
                <w:szCs w:val="20"/>
                <w:lang w:val="en-GB" w:eastAsia="zh-CN"/>
              </w:rPr>
              <w:t>The target scenario and details like how to calculate the PHR are encouraged to provide by proponent in the next meeting.</w:t>
            </w:r>
          </w:p>
          <w:p w14:paraId="0D35C249" w14:textId="0CD64B96" w:rsidR="00BA3270" w:rsidRPr="00941EF7" w:rsidRDefault="00BA3270" w:rsidP="00941EF7">
            <w:pPr>
              <w:pStyle w:val="2"/>
              <w:numPr>
                <w:ilvl w:val="0"/>
                <w:numId w:val="0"/>
              </w:numPr>
              <w:spacing w:after="240"/>
              <w:outlineLvl w:val="1"/>
              <w:rPr>
                <w:rFonts w:ascii="Times New Roman" w:hAnsi="Times New Roman"/>
                <w:b/>
                <w:sz w:val="20"/>
                <w:u w:val="single"/>
                <w:lang w:eastAsia="ko-KR"/>
              </w:rPr>
            </w:pPr>
            <w:r w:rsidRPr="00941EF7">
              <w:rPr>
                <w:rFonts w:ascii="Times New Roman" w:hAnsi="Times New Roman"/>
                <w:b/>
                <w:sz w:val="20"/>
                <w:u w:val="single"/>
                <w:lang w:eastAsia="ko-KR"/>
              </w:rPr>
              <w:t>Issue 2: Proposals based on power class related information reporting for FR1 carrier</w:t>
            </w:r>
          </w:p>
          <w:p w14:paraId="626B2988" w14:textId="77777777" w:rsidR="00BA3270" w:rsidRDefault="00BA3270" w:rsidP="00BA3270">
            <w:pPr>
              <w:widowControl w:val="0"/>
              <w:tabs>
                <w:tab w:val="num" w:pos="1440"/>
                <w:tab w:val="num" w:pos="1701"/>
              </w:tabs>
              <w:spacing w:beforeLines="50" w:before="120"/>
            </w:pPr>
            <w:r w:rsidRPr="008166B0">
              <w:rPr>
                <w:b/>
              </w:rPr>
              <w:t>&lt;</w:t>
            </w:r>
            <w:r w:rsidRPr="008B6A62">
              <w:rPr>
                <w:b/>
              </w:rPr>
              <w:t xml:space="preserve"> </w:t>
            </w:r>
            <w:r>
              <w:rPr>
                <w:b/>
              </w:rPr>
              <w:t>Agreement</w:t>
            </w:r>
            <w:r w:rsidRPr="008166B0">
              <w:rPr>
                <w:b/>
              </w:rPr>
              <w:t xml:space="preserve"> &gt;</w:t>
            </w:r>
            <w:r>
              <w:t>:</w:t>
            </w:r>
            <w:r w:rsidRPr="008166B0">
              <w:t xml:space="preserve"> </w:t>
            </w:r>
          </w:p>
          <w:p w14:paraId="44253D64" w14:textId="77777777" w:rsidR="00BA3270" w:rsidRDefault="00BA3270" w:rsidP="00BA3270">
            <w:pPr>
              <w:widowControl w:val="0"/>
              <w:tabs>
                <w:tab w:val="num" w:pos="1440"/>
                <w:tab w:val="num" w:pos="1701"/>
              </w:tabs>
              <w:spacing w:beforeLines="50" w:before="120"/>
            </w:pPr>
            <w:r>
              <w:t>FFS on the following power class related information reporting solutions for FR1 carrier:</w:t>
            </w:r>
          </w:p>
          <w:p w14:paraId="63B11040" w14:textId="77777777" w:rsidR="00BA3270" w:rsidRPr="00941EF7" w:rsidRDefault="00BA3270" w:rsidP="00BA3270">
            <w:pPr>
              <w:pStyle w:val="aff6"/>
              <w:widowControl/>
              <w:numPr>
                <w:ilvl w:val="0"/>
                <w:numId w:val="45"/>
              </w:numPr>
              <w:overflowPunct w:val="0"/>
              <w:autoSpaceDE w:val="0"/>
              <w:autoSpaceDN w:val="0"/>
              <w:adjustRightInd w:val="0"/>
              <w:spacing w:after="120"/>
              <w:ind w:firstLineChars="0"/>
              <w:jc w:val="left"/>
              <w:textAlignment w:val="baseline"/>
              <w:rPr>
                <w:rFonts w:ascii="Times New Roman" w:hAnsi="Times New Roman"/>
                <w:sz w:val="20"/>
                <w:szCs w:val="24"/>
                <w:lang w:eastAsia="zh-CN"/>
              </w:rPr>
            </w:pPr>
            <w:r w:rsidRPr="00941EF7">
              <w:rPr>
                <w:rFonts w:ascii="Times New Roman" w:hAnsi="Times New Roman"/>
                <w:sz w:val="20"/>
                <w:szCs w:val="24"/>
                <w:lang w:eastAsia="zh-CN"/>
              </w:rPr>
              <w:t xml:space="preserve">Option 1: Power class being used by the UE instead of </w:t>
            </w:r>
            <w:r w:rsidRPr="00941EF7">
              <w:rPr>
                <w:rFonts w:ascii="Times New Roman" w:hAnsi="Times New Roman"/>
                <w:bCs/>
                <w:sz w:val="20"/>
                <w:lang w:eastAsia="zh-CN"/>
              </w:rPr>
              <w:t>ΔP</w:t>
            </w:r>
            <w:r w:rsidRPr="00941EF7">
              <w:rPr>
                <w:rFonts w:ascii="Times New Roman" w:hAnsi="Times New Roman"/>
                <w:bCs/>
                <w:sz w:val="20"/>
                <w:vertAlign w:val="subscript"/>
                <w:lang w:eastAsia="zh-CN"/>
              </w:rPr>
              <w:t>PowerClass</w:t>
            </w:r>
            <w:r w:rsidRPr="00941EF7">
              <w:rPr>
                <w:rFonts w:ascii="Times New Roman" w:hAnsi="Times New Roman"/>
                <w:sz w:val="20"/>
                <w:szCs w:val="24"/>
                <w:lang w:eastAsia="zh-CN"/>
              </w:rPr>
              <w:t>.</w:t>
            </w:r>
          </w:p>
          <w:p w14:paraId="1AC948CF" w14:textId="77777777" w:rsidR="00BA3270" w:rsidRPr="00941EF7" w:rsidRDefault="00BA3270" w:rsidP="00BA3270">
            <w:pPr>
              <w:pStyle w:val="aff6"/>
              <w:widowControl/>
              <w:numPr>
                <w:ilvl w:val="0"/>
                <w:numId w:val="45"/>
              </w:numPr>
              <w:overflowPunct w:val="0"/>
              <w:autoSpaceDE w:val="0"/>
              <w:autoSpaceDN w:val="0"/>
              <w:adjustRightInd w:val="0"/>
              <w:spacing w:after="120"/>
              <w:ind w:firstLineChars="0"/>
              <w:jc w:val="left"/>
              <w:textAlignment w:val="baseline"/>
              <w:rPr>
                <w:rFonts w:ascii="Times New Roman" w:hAnsi="Times New Roman"/>
                <w:sz w:val="20"/>
                <w:szCs w:val="24"/>
                <w:lang w:eastAsia="zh-CN"/>
              </w:rPr>
            </w:pPr>
            <w:r w:rsidRPr="00941EF7">
              <w:rPr>
                <w:rFonts w:ascii="Times New Roman" w:hAnsi="Times New Roman"/>
                <w:sz w:val="20"/>
                <w:szCs w:val="24"/>
                <w:lang w:eastAsia="zh-CN"/>
              </w:rPr>
              <w:t xml:space="preserve">Option 2: Report power-class fallback </w:t>
            </w:r>
            <w:r w:rsidRPr="00941EF7">
              <w:rPr>
                <w:rFonts w:ascii="Times New Roman" w:hAnsi="Times New Roman"/>
                <w:bCs/>
                <w:sz w:val="20"/>
                <w:lang w:eastAsia="zh-CN"/>
              </w:rPr>
              <w:t>ΔP</w:t>
            </w:r>
            <w:r w:rsidRPr="00941EF7">
              <w:rPr>
                <w:rFonts w:ascii="Times New Roman" w:hAnsi="Times New Roman"/>
                <w:bCs/>
                <w:sz w:val="20"/>
                <w:vertAlign w:val="subscript"/>
                <w:lang w:eastAsia="zh-CN"/>
              </w:rPr>
              <w:t>PowerClass</w:t>
            </w:r>
            <w:r w:rsidRPr="00941EF7">
              <w:rPr>
                <w:rFonts w:ascii="Times New Roman" w:hAnsi="Times New Roman"/>
                <w:sz w:val="20"/>
                <w:szCs w:val="24"/>
                <w:lang w:eastAsia="zh-CN"/>
              </w:rPr>
              <w:t xml:space="preserve"> in the PHR per serving cell using spare bits in the existing PHR MAC-CE; reporting by UEs implementing SAR mitigation by P-MPR and duty cycle averaging (the ‘P-MPR method’) with finer granularity than the ΔP</w:t>
            </w:r>
            <w:r w:rsidRPr="00941EF7">
              <w:rPr>
                <w:rFonts w:ascii="Times New Roman" w:hAnsi="Times New Roman"/>
                <w:sz w:val="20"/>
                <w:szCs w:val="24"/>
                <w:vertAlign w:val="subscript"/>
                <w:lang w:eastAsia="zh-CN"/>
              </w:rPr>
              <w:t>PowerClass</w:t>
            </w:r>
            <w:r w:rsidRPr="00941EF7">
              <w:rPr>
                <w:rFonts w:ascii="Times New Roman" w:hAnsi="Times New Roman"/>
                <w:sz w:val="20"/>
                <w:szCs w:val="24"/>
                <w:lang w:eastAsia="zh-CN"/>
              </w:rPr>
              <w:t xml:space="preserve"> is supported using the said spare bits of the PHR in combination with the P-bit.</w:t>
            </w:r>
          </w:p>
          <w:p w14:paraId="36FAF3B5" w14:textId="77777777" w:rsidR="00BA3270" w:rsidRPr="00941EF7" w:rsidRDefault="00BA3270" w:rsidP="00BA3270">
            <w:pPr>
              <w:pStyle w:val="aff6"/>
              <w:widowControl/>
              <w:numPr>
                <w:ilvl w:val="0"/>
                <w:numId w:val="44"/>
              </w:numPr>
              <w:overflowPunct w:val="0"/>
              <w:autoSpaceDE w:val="0"/>
              <w:autoSpaceDN w:val="0"/>
              <w:adjustRightInd w:val="0"/>
              <w:spacing w:after="120"/>
              <w:ind w:firstLineChars="0"/>
              <w:jc w:val="left"/>
              <w:textAlignment w:val="baseline"/>
              <w:rPr>
                <w:rFonts w:ascii="Times New Roman" w:hAnsi="Times New Roman"/>
                <w:sz w:val="20"/>
                <w:szCs w:val="24"/>
                <w:lang w:eastAsia="zh-CN"/>
              </w:rPr>
            </w:pPr>
            <w:r w:rsidRPr="00941EF7">
              <w:rPr>
                <w:rFonts w:ascii="Times New Roman" w:hAnsi="Times New Roman"/>
                <w:sz w:val="20"/>
                <w:szCs w:val="24"/>
                <w:lang w:eastAsia="zh-CN"/>
              </w:rPr>
              <w:t>Power-capability change, power-class fallback or return to declared power class, can trigger an aperiodic report.</w:t>
            </w:r>
          </w:p>
          <w:p w14:paraId="54643DAB" w14:textId="77777777" w:rsidR="00BA3270" w:rsidRPr="00941EF7" w:rsidRDefault="00BA3270" w:rsidP="00BA3270">
            <w:pPr>
              <w:pStyle w:val="aff6"/>
              <w:widowControl/>
              <w:numPr>
                <w:ilvl w:val="0"/>
                <w:numId w:val="44"/>
              </w:numPr>
              <w:overflowPunct w:val="0"/>
              <w:autoSpaceDE w:val="0"/>
              <w:autoSpaceDN w:val="0"/>
              <w:adjustRightInd w:val="0"/>
              <w:spacing w:after="120"/>
              <w:ind w:firstLineChars="0"/>
              <w:jc w:val="left"/>
              <w:textAlignment w:val="baseline"/>
              <w:rPr>
                <w:rFonts w:ascii="Times New Roman" w:hAnsi="Times New Roman"/>
                <w:sz w:val="20"/>
                <w:szCs w:val="24"/>
                <w:lang w:eastAsia="zh-CN"/>
              </w:rPr>
            </w:pPr>
            <w:r w:rsidRPr="00941EF7">
              <w:rPr>
                <w:rFonts w:ascii="Times New Roman" w:hAnsi="Times New Roman"/>
                <w:sz w:val="20"/>
                <w:szCs w:val="24"/>
                <w:lang w:eastAsia="zh-CN"/>
              </w:rPr>
              <w:t xml:space="preserve">Report power-class fallback </w:t>
            </w:r>
            <w:r w:rsidRPr="00941EF7">
              <w:rPr>
                <w:rFonts w:ascii="Times New Roman" w:hAnsi="Times New Roman"/>
                <w:bCs/>
                <w:sz w:val="20"/>
                <w:lang w:eastAsia="zh-CN"/>
              </w:rPr>
              <w:t>ΔP</w:t>
            </w:r>
            <w:r w:rsidRPr="00941EF7">
              <w:rPr>
                <w:rFonts w:ascii="Times New Roman" w:hAnsi="Times New Roman"/>
                <w:bCs/>
                <w:sz w:val="20"/>
                <w:vertAlign w:val="subscript"/>
                <w:lang w:eastAsia="zh-CN"/>
              </w:rPr>
              <w:t>PowerClass,CA</w:t>
            </w:r>
            <w:r w:rsidRPr="00941EF7">
              <w:rPr>
                <w:rFonts w:ascii="Times New Roman" w:hAnsi="Times New Roman"/>
                <w:sz w:val="20"/>
                <w:szCs w:val="24"/>
                <w:lang w:eastAsia="zh-CN"/>
              </w:rPr>
              <w:t xml:space="preserve"> in the multi-entry PHR for the BC; any BC power-class change, fallback or return to advertised BC power class, also trigger an aperiodic PHR.</w:t>
            </w:r>
          </w:p>
          <w:p w14:paraId="249EBDF0" w14:textId="77777777" w:rsidR="00BA3270" w:rsidRPr="00941EF7" w:rsidRDefault="00BA3270" w:rsidP="00BA3270">
            <w:pPr>
              <w:pStyle w:val="aff6"/>
              <w:widowControl/>
              <w:numPr>
                <w:ilvl w:val="0"/>
                <w:numId w:val="45"/>
              </w:numPr>
              <w:overflowPunct w:val="0"/>
              <w:autoSpaceDE w:val="0"/>
              <w:autoSpaceDN w:val="0"/>
              <w:adjustRightInd w:val="0"/>
              <w:spacing w:after="120"/>
              <w:ind w:firstLineChars="0"/>
              <w:jc w:val="left"/>
              <w:textAlignment w:val="baseline"/>
              <w:rPr>
                <w:rFonts w:ascii="Times New Roman" w:hAnsi="Times New Roman"/>
                <w:sz w:val="20"/>
                <w:szCs w:val="24"/>
                <w:lang w:eastAsia="zh-CN"/>
              </w:rPr>
            </w:pPr>
            <w:r w:rsidRPr="00941EF7">
              <w:rPr>
                <w:rFonts w:ascii="Times New Roman" w:hAnsi="Times New Roman"/>
                <w:sz w:val="20"/>
                <w:szCs w:val="24"/>
                <w:lang w:eastAsia="zh-CN"/>
              </w:rPr>
              <w:t xml:space="preserve">Option 3: Report both power-class fallback </w:t>
            </w:r>
            <w:r w:rsidRPr="00941EF7">
              <w:rPr>
                <w:rFonts w:ascii="Times New Roman" w:hAnsi="Times New Roman"/>
                <w:bCs/>
                <w:sz w:val="20"/>
                <w:lang w:eastAsia="zh-CN"/>
              </w:rPr>
              <w:t>ΔP</w:t>
            </w:r>
            <w:r w:rsidRPr="00941EF7">
              <w:rPr>
                <w:rFonts w:ascii="Times New Roman" w:hAnsi="Times New Roman"/>
                <w:bCs/>
                <w:sz w:val="20"/>
                <w:vertAlign w:val="subscript"/>
                <w:lang w:eastAsia="zh-CN"/>
              </w:rPr>
              <w:t>PowerClass</w:t>
            </w:r>
            <w:r w:rsidRPr="00941EF7">
              <w:rPr>
                <w:rFonts w:ascii="Times New Roman" w:hAnsi="Times New Roman"/>
                <w:sz w:val="20"/>
                <w:szCs w:val="24"/>
                <w:lang w:eastAsia="zh-CN"/>
              </w:rPr>
              <w:t xml:space="preserve"> and the full power transmission capability for the current </w:t>
            </w:r>
            <w:proofErr w:type="spellStart"/>
            <w:r w:rsidRPr="00941EF7">
              <w:rPr>
                <w:rFonts w:ascii="Times New Roman" w:hAnsi="Times New Roman"/>
                <w:sz w:val="20"/>
                <w:szCs w:val="24"/>
                <w:lang w:eastAsia="zh-CN"/>
              </w:rPr>
              <w:t>fall-back</w:t>
            </w:r>
            <w:proofErr w:type="spellEnd"/>
            <w:r w:rsidRPr="00941EF7">
              <w:rPr>
                <w:rFonts w:ascii="Times New Roman" w:hAnsi="Times New Roman"/>
                <w:sz w:val="20"/>
                <w:szCs w:val="24"/>
                <w:lang w:eastAsia="zh-CN"/>
              </w:rPr>
              <w:t xml:space="preserve"> power class.</w:t>
            </w:r>
          </w:p>
          <w:p w14:paraId="55C089E5" w14:textId="45BFB0A0" w:rsidR="00941EF7" w:rsidRPr="00941EF7" w:rsidRDefault="00941EF7" w:rsidP="00941EF7">
            <w:pPr>
              <w:pStyle w:val="2"/>
              <w:numPr>
                <w:ilvl w:val="0"/>
                <w:numId w:val="0"/>
              </w:numPr>
              <w:spacing w:after="240"/>
              <w:outlineLvl w:val="1"/>
              <w:rPr>
                <w:rFonts w:ascii="Times New Roman" w:hAnsi="Times New Roman"/>
                <w:b/>
                <w:sz w:val="20"/>
                <w:u w:val="single"/>
                <w:lang w:eastAsia="ko-KR"/>
              </w:rPr>
            </w:pPr>
            <w:r w:rsidRPr="00941EF7">
              <w:rPr>
                <w:rFonts w:ascii="Times New Roman" w:hAnsi="Times New Roman"/>
                <w:b/>
                <w:sz w:val="20"/>
                <w:u w:val="single"/>
                <w:lang w:eastAsia="ko-KR"/>
              </w:rPr>
              <w:t xml:space="preserve">Issue </w:t>
            </w:r>
            <w:r>
              <w:rPr>
                <w:rFonts w:ascii="Times New Roman" w:hAnsi="Times New Roman"/>
                <w:b/>
                <w:sz w:val="20"/>
                <w:u w:val="single"/>
                <w:lang w:eastAsia="ko-KR"/>
              </w:rPr>
              <w:t>3</w:t>
            </w:r>
            <w:r w:rsidRPr="00941EF7">
              <w:rPr>
                <w:rFonts w:ascii="Times New Roman" w:hAnsi="Times New Roman"/>
                <w:b/>
                <w:sz w:val="20"/>
                <w:u w:val="single"/>
                <w:lang w:eastAsia="ko-KR"/>
              </w:rPr>
              <w:t>: Whether to introduce P-MPR reporting for FR1 carrier</w:t>
            </w:r>
          </w:p>
          <w:p w14:paraId="567705D5" w14:textId="77777777" w:rsidR="00941EF7" w:rsidRDefault="00941EF7" w:rsidP="00941EF7">
            <w:pPr>
              <w:widowControl w:val="0"/>
              <w:tabs>
                <w:tab w:val="num" w:pos="1440"/>
                <w:tab w:val="num" w:pos="1701"/>
              </w:tabs>
              <w:spacing w:beforeLines="50" w:before="120"/>
            </w:pPr>
            <w:r w:rsidRPr="008166B0">
              <w:rPr>
                <w:b/>
              </w:rPr>
              <w:t>&lt;</w:t>
            </w:r>
            <w:r w:rsidRPr="008B6A62">
              <w:rPr>
                <w:b/>
              </w:rPr>
              <w:t xml:space="preserve"> </w:t>
            </w:r>
            <w:r>
              <w:rPr>
                <w:b/>
              </w:rPr>
              <w:t>Agreement</w:t>
            </w:r>
            <w:r w:rsidRPr="008166B0">
              <w:rPr>
                <w:b/>
              </w:rPr>
              <w:t xml:space="preserve"> &gt;</w:t>
            </w:r>
            <w:r>
              <w:t>:</w:t>
            </w:r>
            <w:r w:rsidRPr="008166B0">
              <w:t xml:space="preserve"> </w:t>
            </w:r>
          </w:p>
          <w:p w14:paraId="6DF38713" w14:textId="3F838425" w:rsidR="00516CBC" w:rsidRPr="00941EF7" w:rsidRDefault="00941EF7" w:rsidP="00941EF7">
            <w:pPr>
              <w:widowControl w:val="0"/>
              <w:tabs>
                <w:tab w:val="num" w:pos="1440"/>
                <w:tab w:val="num" w:pos="1701"/>
              </w:tabs>
              <w:spacing w:beforeLines="50" w:before="120"/>
            </w:pPr>
            <w:r>
              <w:t>FFS whether to introduce P-MPR reporting for FR1 carrier.</w:t>
            </w:r>
          </w:p>
          <w:p w14:paraId="367192B3" w14:textId="7A822755" w:rsidR="00DE513D" w:rsidRPr="00DE513D" w:rsidRDefault="00DE513D" w:rsidP="00DE513D">
            <w:pPr>
              <w:pStyle w:val="2"/>
              <w:numPr>
                <w:ilvl w:val="0"/>
                <w:numId w:val="0"/>
              </w:numPr>
              <w:spacing w:after="240"/>
              <w:jc w:val="both"/>
              <w:outlineLvl w:val="1"/>
              <w:rPr>
                <w:rFonts w:ascii="Times New Roman" w:hAnsi="Times New Roman"/>
                <w:b/>
                <w:sz w:val="20"/>
                <w:u w:val="single"/>
                <w:lang w:eastAsia="ko-KR"/>
              </w:rPr>
            </w:pPr>
            <w:r w:rsidRPr="00DE513D">
              <w:rPr>
                <w:rFonts w:ascii="Times New Roman" w:hAnsi="Times New Roman"/>
                <w:b/>
                <w:sz w:val="20"/>
                <w:u w:val="single"/>
                <w:lang w:eastAsia="ko-KR"/>
              </w:rPr>
              <w:t xml:space="preserve">Issue </w:t>
            </w:r>
            <w:r w:rsidR="00941EF7">
              <w:rPr>
                <w:rFonts w:ascii="Times New Roman" w:hAnsi="Times New Roman"/>
                <w:b/>
                <w:sz w:val="20"/>
                <w:u w:val="single"/>
                <w:lang w:eastAsia="ko-KR"/>
              </w:rPr>
              <w:t xml:space="preserve">4: </w:t>
            </w:r>
            <w:r w:rsidR="00941EF7" w:rsidRPr="00941EF7">
              <w:rPr>
                <w:rFonts w:ascii="Times New Roman" w:hAnsi="Times New Roman"/>
                <w:b/>
                <w:sz w:val="20"/>
                <w:u w:val="single"/>
                <w:lang w:eastAsia="ko-KR"/>
              </w:rPr>
              <w:t>Proposals based on ‘duration’ information reporting for FR1 carrier</w:t>
            </w:r>
          </w:p>
          <w:p w14:paraId="3E15A9C1" w14:textId="13CDB0E8" w:rsidR="00DE513D" w:rsidRDefault="00DE513D" w:rsidP="00DE513D">
            <w:pPr>
              <w:widowControl w:val="0"/>
              <w:tabs>
                <w:tab w:val="num" w:pos="1440"/>
                <w:tab w:val="num" w:pos="1701"/>
              </w:tabs>
              <w:spacing w:beforeLines="50" w:before="120"/>
              <w:rPr>
                <w:b/>
              </w:rPr>
            </w:pPr>
            <w:r w:rsidRPr="00DE513D">
              <w:rPr>
                <w:b/>
              </w:rPr>
              <w:t>&lt;</w:t>
            </w:r>
            <w:r w:rsidR="00941EF7">
              <w:rPr>
                <w:b/>
              </w:rPr>
              <w:t xml:space="preserve"> Agreement</w:t>
            </w:r>
            <w:r w:rsidR="00941EF7" w:rsidRPr="008166B0">
              <w:rPr>
                <w:b/>
              </w:rPr>
              <w:t xml:space="preserve"> </w:t>
            </w:r>
            <w:r w:rsidRPr="00DE513D">
              <w:rPr>
                <w:b/>
              </w:rPr>
              <w:t>&gt;</w:t>
            </w:r>
            <w:r w:rsidR="000643F6">
              <w:t>:</w:t>
            </w:r>
          </w:p>
          <w:p w14:paraId="3FE0536E" w14:textId="77777777" w:rsidR="00941EF7" w:rsidRPr="00762D94" w:rsidRDefault="00941EF7" w:rsidP="00941EF7">
            <w:pPr>
              <w:widowControl w:val="0"/>
              <w:tabs>
                <w:tab w:val="num" w:pos="1440"/>
                <w:tab w:val="num" w:pos="1701"/>
              </w:tabs>
              <w:spacing w:beforeLines="50" w:before="120"/>
            </w:pPr>
            <w:r w:rsidRPr="00762D94">
              <w:lastRenderedPageBreak/>
              <w:t>FFS whether to consider the following duration related information reporting solutions for FR1 carrier.</w:t>
            </w:r>
          </w:p>
          <w:p w14:paraId="1BED8545" w14:textId="77777777" w:rsidR="00941EF7" w:rsidRPr="00762D94" w:rsidRDefault="00941EF7" w:rsidP="00941EF7">
            <w:pPr>
              <w:pStyle w:val="aff6"/>
              <w:widowControl/>
              <w:numPr>
                <w:ilvl w:val="0"/>
                <w:numId w:val="47"/>
              </w:numPr>
              <w:overflowPunct w:val="0"/>
              <w:autoSpaceDE w:val="0"/>
              <w:autoSpaceDN w:val="0"/>
              <w:adjustRightInd w:val="0"/>
              <w:spacing w:after="120"/>
              <w:ind w:firstLineChars="0"/>
              <w:jc w:val="left"/>
              <w:textAlignment w:val="baseline"/>
              <w:rPr>
                <w:rFonts w:ascii="Times New Roman" w:hAnsi="Times New Roman"/>
                <w:sz w:val="20"/>
                <w:szCs w:val="24"/>
                <w:lang w:eastAsia="zh-CN"/>
              </w:rPr>
            </w:pPr>
            <w:r w:rsidRPr="00762D94">
              <w:rPr>
                <w:rFonts w:ascii="Times New Roman" w:hAnsi="Times New Roman"/>
                <w:sz w:val="20"/>
                <w:szCs w:val="24"/>
                <w:lang w:eastAsia="zh-CN"/>
              </w:rPr>
              <w:t>Option 1: On top of the power class related information reporting, also consider report evaluation period, the starting time and estimated time for return to higher power class.</w:t>
            </w:r>
          </w:p>
          <w:p w14:paraId="021E6789" w14:textId="77777777" w:rsidR="00941EF7" w:rsidRPr="00762D94" w:rsidRDefault="00941EF7" w:rsidP="00941EF7">
            <w:pPr>
              <w:pStyle w:val="aff6"/>
              <w:widowControl/>
              <w:numPr>
                <w:ilvl w:val="0"/>
                <w:numId w:val="47"/>
              </w:numPr>
              <w:overflowPunct w:val="0"/>
              <w:autoSpaceDE w:val="0"/>
              <w:autoSpaceDN w:val="0"/>
              <w:adjustRightInd w:val="0"/>
              <w:spacing w:after="120"/>
              <w:ind w:firstLineChars="0"/>
              <w:jc w:val="left"/>
              <w:textAlignment w:val="baseline"/>
              <w:rPr>
                <w:rFonts w:ascii="Times New Roman" w:hAnsi="Times New Roman"/>
                <w:sz w:val="20"/>
                <w:szCs w:val="24"/>
                <w:lang w:eastAsia="zh-CN"/>
              </w:rPr>
            </w:pPr>
            <w:r w:rsidRPr="00762D94">
              <w:rPr>
                <w:rFonts w:ascii="Times New Roman" w:hAnsi="Times New Roman"/>
                <w:sz w:val="20"/>
                <w:szCs w:val="24"/>
                <w:lang w:eastAsia="zh-CN"/>
              </w:rPr>
              <w:t>Option 2: Consider UE reporting on the following information as a ‘forecast’.</w:t>
            </w:r>
          </w:p>
          <w:p w14:paraId="6376A079" w14:textId="77777777" w:rsidR="00941EF7" w:rsidRPr="00762D94" w:rsidRDefault="00941EF7" w:rsidP="00941EF7">
            <w:pPr>
              <w:pStyle w:val="aff6"/>
              <w:widowControl/>
              <w:numPr>
                <w:ilvl w:val="0"/>
                <w:numId w:val="46"/>
              </w:numPr>
              <w:overflowPunct w:val="0"/>
              <w:autoSpaceDE w:val="0"/>
              <w:autoSpaceDN w:val="0"/>
              <w:adjustRightInd w:val="0"/>
              <w:spacing w:after="120"/>
              <w:ind w:left="644" w:firstLineChars="0"/>
              <w:jc w:val="left"/>
              <w:textAlignment w:val="baseline"/>
              <w:rPr>
                <w:rFonts w:ascii="Times New Roman" w:hAnsi="Times New Roman"/>
                <w:sz w:val="20"/>
                <w:szCs w:val="24"/>
                <w:lang w:eastAsia="zh-CN"/>
              </w:rPr>
            </w:pPr>
            <w:r w:rsidRPr="00762D94">
              <w:rPr>
                <w:rFonts w:ascii="Times New Roman" w:hAnsi="Times New Roman"/>
                <w:sz w:val="20"/>
                <w:szCs w:val="24"/>
                <w:lang w:eastAsia="zh-CN"/>
              </w:rPr>
              <w:t>For current UEs, information about how long the gNB should not expect better performance:</w:t>
            </w:r>
          </w:p>
          <w:p w14:paraId="58F73A85" w14:textId="77777777" w:rsidR="00941EF7" w:rsidRPr="00762D94" w:rsidRDefault="00941EF7" w:rsidP="00941EF7">
            <w:pPr>
              <w:pStyle w:val="aff6"/>
              <w:widowControl/>
              <w:numPr>
                <w:ilvl w:val="0"/>
                <w:numId w:val="48"/>
              </w:numPr>
              <w:overflowPunct w:val="0"/>
              <w:autoSpaceDE w:val="0"/>
              <w:autoSpaceDN w:val="0"/>
              <w:adjustRightInd w:val="0"/>
              <w:spacing w:after="120"/>
              <w:ind w:firstLineChars="0"/>
              <w:jc w:val="left"/>
              <w:textAlignment w:val="baseline"/>
              <w:rPr>
                <w:rFonts w:ascii="Times New Roman" w:hAnsi="Times New Roman"/>
                <w:sz w:val="20"/>
                <w:szCs w:val="24"/>
                <w:lang w:eastAsia="zh-CN"/>
              </w:rPr>
            </w:pPr>
            <w:r w:rsidRPr="00762D94">
              <w:rPr>
                <w:rFonts w:ascii="Times New Roman" w:hAnsi="Times New Roman"/>
                <w:sz w:val="20"/>
                <w:szCs w:val="24"/>
                <w:lang w:eastAsia="zh-CN"/>
              </w:rPr>
              <w:t xml:space="preserve">For UEs that </w:t>
            </w:r>
            <w:proofErr w:type="spellStart"/>
            <w:r w:rsidRPr="00762D94">
              <w:rPr>
                <w:rFonts w:ascii="Times New Roman" w:hAnsi="Times New Roman"/>
                <w:sz w:val="20"/>
                <w:szCs w:val="24"/>
                <w:lang w:eastAsia="zh-CN"/>
              </w:rPr>
              <w:t>fall-back</w:t>
            </w:r>
            <w:proofErr w:type="spellEnd"/>
            <w:r w:rsidRPr="00762D94">
              <w:rPr>
                <w:rFonts w:ascii="Times New Roman" w:hAnsi="Times New Roman"/>
                <w:sz w:val="20"/>
                <w:szCs w:val="24"/>
                <w:lang w:eastAsia="zh-CN"/>
              </w:rPr>
              <w:t xml:space="preserve"> in power class: how long a duty-cycle related power class fallback is expected to persist. </w:t>
            </w:r>
          </w:p>
          <w:p w14:paraId="1F8CD4C3" w14:textId="77777777" w:rsidR="00941EF7" w:rsidRPr="00762D94" w:rsidRDefault="00941EF7" w:rsidP="00941EF7">
            <w:pPr>
              <w:pStyle w:val="aff6"/>
              <w:widowControl/>
              <w:numPr>
                <w:ilvl w:val="0"/>
                <w:numId w:val="48"/>
              </w:numPr>
              <w:overflowPunct w:val="0"/>
              <w:autoSpaceDE w:val="0"/>
              <w:autoSpaceDN w:val="0"/>
              <w:adjustRightInd w:val="0"/>
              <w:spacing w:after="120"/>
              <w:ind w:firstLineChars="0"/>
              <w:jc w:val="left"/>
              <w:textAlignment w:val="baseline"/>
              <w:rPr>
                <w:rFonts w:ascii="Times New Roman" w:hAnsi="Times New Roman"/>
                <w:sz w:val="20"/>
                <w:szCs w:val="24"/>
                <w:lang w:eastAsia="zh-CN"/>
              </w:rPr>
            </w:pPr>
            <w:r w:rsidRPr="00762D94">
              <w:rPr>
                <w:rFonts w:ascii="Times New Roman" w:hAnsi="Times New Roman"/>
                <w:sz w:val="20"/>
                <w:szCs w:val="24"/>
                <w:lang w:eastAsia="zh-CN"/>
              </w:rPr>
              <w:t>For UEs that use P-MPR: how long the reported range of P-MPR is expected to persist.</w:t>
            </w:r>
          </w:p>
          <w:p w14:paraId="78CB0B83" w14:textId="77777777" w:rsidR="00941EF7" w:rsidRPr="00762D94" w:rsidRDefault="00941EF7" w:rsidP="00941EF7">
            <w:pPr>
              <w:pStyle w:val="aff6"/>
              <w:widowControl/>
              <w:numPr>
                <w:ilvl w:val="0"/>
                <w:numId w:val="46"/>
              </w:numPr>
              <w:overflowPunct w:val="0"/>
              <w:autoSpaceDE w:val="0"/>
              <w:autoSpaceDN w:val="0"/>
              <w:adjustRightInd w:val="0"/>
              <w:spacing w:after="120"/>
              <w:ind w:left="644" w:firstLineChars="0"/>
              <w:jc w:val="left"/>
              <w:textAlignment w:val="baseline"/>
              <w:rPr>
                <w:rFonts w:ascii="Times New Roman" w:hAnsi="Times New Roman"/>
                <w:sz w:val="20"/>
                <w:szCs w:val="24"/>
                <w:lang w:eastAsia="zh-CN"/>
              </w:rPr>
            </w:pPr>
            <w:r w:rsidRPr="00762D94">
              <w:rPr>
                <w:rFonts w:ascii="Times New Roman" w:hAnsi="Times New Roman"/>
                <w:sz w:val="20"/>
                <w:szCs w:val="24"/>
                <w:lang w:eastAsia="zh-CN"/>
              </w:rPr>
              <w:t>For all enhanced UEs, information about how long the gNB can expect un-degraded performance:</w:t>
            </w:r>
          </w:p>
          <w:p w14:paraId="20859628" w14:textId="77777777" w:rsidR="00941EF7" w:rsidRPr="00762D94" w:rsidRDefault="00941EF7" w:rsidP="00941EF7">
            <w:pPr>
              <w:pStyle w:val="aff6"/>
              <w:widowControl/>
              <w:numPr>
                <w:ilvl w:val="0"/>
                <w:numId w:val="49"/>
              </w:numPr>
              <w:overflowPunct w:val="0"/>
              <w:autoSpaceDE w:val="0"/>
              <w:autoSpaceDN w:val="0"/>
              <w:adjustRightInd w:val="0"/>
              <w:spacing w:after="120"/>
              <w:ind w:firstLineChars="0"/>
              <w:jc w:val="left"/>
              <w:textAlignment w:val="baseline"/>
              <w:rPr>
                <w:rFonts w:ascii="Times New Roman" w:hAnsi="Times New Roman"/>
                <w:sz w:val="20"/>
                <w:szCs w:val="24"/>
                <w:lang w:eastAsia="zh-CN"/>
              </w:rPr>
            </w:pPr>
            <w:r w:rsidRPr="00762D94">
              <w:rPr>
                <w:rFonts w:ascii="Times New Roman" w:hAnsi="Times New Roman"/>
                <w:sz w:val="20"/>
                <w:szCs w:val="24"/>
                <w:lang w:eastAsia="zh-CN"/>
              </w:rPr>
              <w:t xml:space="preserve">How long a UE can execute UL grants based on duty-cycle capability and last reported </w:t>
            </w:r>
            <w:proofErr w:type="spellStart"/>
            <w:r w:rsidRPr="00762D94">
              <w:rPr>
                <w:rFonts w:ascii="Times New Roman" w:hAnsi="Times New Roman"/>
                <w:sz w:val="20"/>
                <w:szCs w:val="24"/>
                <w:lang w:eastAsia="zh-CN"/>
              </w:rPr>
              <w:t>Pcmax</w:t>
            </w:r>
            <w:proofErr w:type="spellEnd"/>
            <w:r w:rsidRPr="00762D94">
              <w:rPr>
                <w:rFonts w:ascii="Times New Roman" w:hAnsi="Times New Roman"/>
                <w:sz w:val="20"/>
                <w:szCs w:val="24"/>
                <w:lang w:eastAsia="zh-CN"/>
              </w:rPr>
              <w:t xml:space="preserve">. </w:t>
            </w:r>
          </w:p>
          <w:p w14:paraId="3FDE2FDC" w14:textId="77777777" w:rsidR="00941EF7" w:rsidRPr="00762D94" w:rsidRDefault="00941EF7" w:rsidP="00941EF7">
            <w:pPr>
              <w:pStyle w:val="aff6"/>
              <w:widowControl/>
              <w:numPr>
                <w:ilvl w:val="0"/>
                <w:numId w:val="49"/>
              </w:numPr>
              <w:overflowPunct w:val="0"/>
              <w:autoSpaceDE w:val="0"/>
              <w:autoSpaceDN w:val="0"/>
              <w:adjustRightInd w:val="0"/>
              <w:spacing w:after="120"/>
              <w:ind w:firstLineChars="0"/>
              <w:jc w:val="left"/>
              <w:textAlignment w:val="baseline"/>
              <w:rPr>
                <w:rFonts w:ascii="Times New Roman" w:hAnsi="Times New Roman"/>
                <w:sz w:val="20"/>
                <w:szCs w:val="24"/>
                <w:lang w:eastAsia="zh-CN"/>
              </w:rPr>
            </w:pPr>
            <w:r w:rsidRPr="00762D94">
              <w:rPr>
                <w:rFonts w:ascii="Times New Roman" w:hAnsi="Times New Roman"/>
                <w:sz w:val="20"/>
                <w:szCs w:val="24"/>
                <w:lang w:eastAsia="zh-CN"/>
              </w:rPr>
              <w:t>Alternatively, how long a duty cycle can be sustained without triggering additional P-MPR.</w:t>
            </w:r>
          </w:p>
          <w:p w14:paraId="25D93936" w14:textId="2238EA2B" w:rsidR="006A1540" w:rsidRPr="00E9535A" w:rsidRDefault="00941EF7" w:rsidP="00E9535A">
            <w:pPr>
              <w:pStyle w:val="aff6"/>
              <w:widowControl/>
              <w:numPr>
                <w:ilvl w:val="0"/>
                <w:numId w:val="46"/>
              </w:numPr>
              <w:overflowPunct w:val="0"/>
              <w:autoSpaceDE w:val="0"/>
              <w:autoSpaceDN w:val="0"/>
              <w:adjustRightInd w:val="0"/>
              <w:spacing w:after="120"/>
              <w:ind w:firstLineChars="0"/>
              <w:jc w:val="left"/>
              <w:textAlignment w:val="baseline"/>
              <w:rPr>
                <w:rFonts w:ascii="Times New Roman" w:hAnsi="Times New Roman"/>
                <w:sz w:val="20"/>
                <w:szCs w:val="24"/>
                <w:lang w:eastAsia="zh-CN"/>
              </w:rPr>
            </w:pPr>
            <w:r w:rsidRPr="00941EF7">
              <w:rPr>
                <w:rFonts w:ascii="Times New Roman" w:hAnsi="Times New Roman"/>
                <w:sz w:val="20"/>
                <w:szCs w:val="24"/>
                <w:lang w:eastAsia="zh-CN"/>
              </w:rPr>
              <w:t>Option 3: Sustainable duty cycle.</w:t>
            </w:r>
          </w:p>
        </w:tc>
      </w:tr>
    </w:tbl>
    <w:p w14:paraId="05BE6015" w14:textId="652F9B7F" w:rsidR="00AB1467" w:rsidRDefault="004B5218" w:rsidP="00AB1467">
      <w:pPr>
        <w:jc w:val="both"/>
      </w:pPr>
      <w:r>
        <w:lastRenderedPageBreak/>
        <w:t>In this contribution,</w:t>
      </w:r>
      <w:r w:rsidR="005E7B01">
        <w:t xml:space="preserve"> </w:t>
      </w:r>
      <w:r w:rsidR="00D6342C">
        <w:t xml:space="preserve">we would like </w:t>
      </w:r>
      <w:r w:rsidR="00AD3838">
        <w:t>to share our views regarding</w:t>
      </w:r>
      <w:r w:rsidR="0069092D">
        <w:t xml:space="preserve"> </w:t>
      </w:r>
      <w:r w:rsidR="00DA0EEC">
        <w:t>th</w:t>
      </w:r>
      <w:r>
        <w:t xml:space="preserve">e </w:t>
      </w:r>
      <w:r w:rsidR="00D51F65">
        <w:t>remaining issues</w:t>
      </w:r>
      <w:r w:rsidR="00D01300">
        <w:t>.</w:t>
      </w:r>
    </w:p>
    <w:p w14:paraId="4B01C4F5" w14:textId="77777777" w:rsidR="00062E8E" w:rsidRDefault="00062E8E" w:rsidP="00F23E96">
      <w:pPr>
        <w:pStyle w:val="1"/>
        <w:spacing w:after="240"/>
        <w:rPr>
          <w:rFonts w:eastAsia="宋体"/>
          <w:lang w:eastAsia="zh-CN"/>
        </w:rPr>
      </w:pPr>
      <w:r>
        <w:rPr>
          <w:rFonts w:eastAsia="宋体" w:hint="eastAsia"/>
          <w:lang w:eastAsia="zh-CN"/>
        </w:rPr>
        <w:t>Discussion</w:t>
      </w:r>
    </w:p>
    <w:p w14:paraId="793130C1" w14:textId="6BEAD723" w:rsidR="00FB1B02" w:rsidRDefault="003A64BB" w:rsidP="00FC4664">
      <w:pPr>
        <w:pStyle w:val="2"/>
        <w:spacing w:after="240"/>
        <w:rPr>
          <w:lang w:eastAsia="zh-CN"/>
        </w:rPr>
      </w:pPr>
      <w:r>
        <w:rPr>
          <w:lang w:eastAsia="zh-CN"/>
        </w:rPr>
        <w:t>On the</w:t>
      </w:r>
      <w:r w:rsidR="00FB1B02" w:rsidRPr="00FB1B02">
        <w:rPr>
          <w:lang w:eastAsia="zh-CN"/>
        </w:rPr>
        <w:t xml:space="preserve"> </w:t>
      </w:r>
      <w:r>
        <w:rPr>
          <w:lang w:eastAsia="zh-CN"/>
        </w:rPr>
        <w:t>“</w:t>
      </w:r>
      <w:r w:rsidR="00FB1B02" w:rsidRPr="00FB1B02">
        <w:rPr>
          <w:lang w:eastAsia="zh-CN"/>
        </w:rPr>
        <w:t>PHR reporting</w:t>
      </w:r>
      <w:r>
        <w:rPr>
          <w:lang w:eastAsia="zh-CN"/>
        </w:rPr>
        <w:t>”</w:t>
      </w:r>
      <w:r w:rsidR="00FB1B02" w:rsidRPr="00FB1B02">
        <w:rPr>
          <w:lang w:eastAsia="zh-CN"/>
        </w:rPr>
        <w:t xml:space="preserve"> for the carrier that is configured for DL but no UL</w:t>
      </w:r>
    </w:p>
    <w:p w14:paraId="7A5020B9" w14:textId="2E5816CF" w:rsidR="00C400C1" w:rsidRDefault="00EF49B9" w:rsidP="00FB1B02">
      <w:pPr>
        <w:jc w:val="both"/>
      </w:pPr>
      <w:r>
        <w:t>This is one aspect that has been proposed a</w:t>
      </w:r>
      <w:r w:rsidR="003A64BB">
        <w:t>ccording to the contributions [2, 3] from previous meetings.</w:t>
      </w:r>
      <w:r w:rsidR="00C22A3F">
        <w:t xml:space="preserve"> Despite the details about what specifically should be reported and how the whole reporting scheme works etc., are still shrouded in mystery</w:t>
      </w:r>
      <w:r w:rsidR="00B45898">
        <w:t>, the motivation has been proposed that for specific antenna arrangement</w:t>
      </w:r>
      <w:r w:rsidR="00F26C22">
        <w:t>, the RF exposure capability for different antenna (may cover different CC) may be different, which can be well monitored from UE but not from gNB perspective. The claim</w:t>
      </w:r>
      <w:r w:rsidR="005942DC">
        <w:t>ed</w:t>
      </w:r>
      <w:r w:rsidR="00F26C22">
        <w:t xml:space="preserve"> benefit is</w:t>
      </w:r>
      <w:r w:rsidR="005942DC">
        <w:t xml:space="preserve"> that the</w:t>
      </w:r>
      <w:r w:rsidR="00F26C22">
        <w:t xml:space="preserve"> gNB could make more informed scheduling decision </w:t>
      </w:r>
      <w:r w:rsidR="00606F6F">
        <w:t>by</w:t>
      </w:r>
      <w:r w:rsidR="001C4FA5">
        <w:t xml:space="preserve"> enabling such UE reporting on the RF exposure capability in case better UL performance can be provided</w:t>
      </w:r>
      <w:r w:rsidR="00732509" w:rsidRPr="00732509">
        <w:t xml:space="preserve"> </w:t>
      </w:r>
      <w:r w:rsidR="00732509">
        <w:t>especially for the un-configured UL</w:t>
      </w:r>
      <w:r w:rsidR="00732509" w:rsidRPr="00732509">
        <w:t xml:space="preserve"> </w:t>
      </w:r>
      <w:r w:rsidR="00732509">
        <w:t>CCs</w:t>
      </w:r>
      <w:r w:rsidR="001C4FA5">
        <w:t>.</w:t>
      </w:r>
      <w:r w:rsidR="005942DC">
        <w:t xml:space="preserve"> </w:t>
      </w:r>
      <w:r w:rsidR="00301348">
        <w:t>We think at least the following information from proponent</w:t>
      </w:r>
      <w:r w:rsidR="00A773E9">
        <w:t>,</w:t>
      </w:r>
      <w:r w:rsidR="00301348">
        <w:t xml:space="preserve"> if possible, can be constructive for the determination on whether that is a reasonable evolution avenue for UL coverage enhancement</w:t>
      </w:r>
      <w:r w:rsidR="00C400C1">
        <w:t>:</w:t>
      </w:r>
    </w:p>
    <w:p w14:paraId="029A8B62" w14:textId="77777777" w:rsidR="006E379A" w:rsidRDefault="00A94060" w:rsidP="00A94060">
      <w:pPr>
        <w:pStyle w:val="aff6"/>
        <w:numPr>
          <w:ilvl w:val="0"/>
          <w:numId w:val="46"/>
        </w:numPr>
        <w:ind w:firstLineChars="0"/>
        <w:rPr>
          <w:rFonts w:ascii="Times New Roman" w:hAnsi="Times New Roman"/>
          <w:kern w:val="0"/>
          <w:sz w:val="20"/>
          <w:szCs w:val="20"/>
          <w:lang w:val="en-GB" w:eastAsia="zh-CN"/>
        </w:rPr>
      </w:pPr>
      <w:r w:rsidRPr="006E379A">
        <w:rPr>
          <w:rFonts w:ascii="Times New Roman" w:hAnsi="Times New Roman"/>
          <w:kern w:val="0"/>
          <w:sz w:val="20"/>
          <w:szCs w:val="20"/>
          <w:lang w:val="en-GB" w:eastAsia="zh-CN"/>
        </w:rPr>
        <w:t>Since it has been claimed that such demand is rooted from various RF exposure capability of UE, then the target scenario under specific</w:t>
      </w:r>
      <w:r w:rsidR="006E379A" w:rsidRPr="006E379A">
        <w:rPr>
          <w:rFonts w:ascii="Times New Roman" w:hAnsi="Times New Roman"/>
          <w:kern w:val="0"/>
          <w:sz w:val="20"/>
          <w:szCs w:val="20"/>
          <w:lang w:val="en-GB" w:eastAsia="zh-CN"/>
        </w:rPr>
        <w:t xml:space="preserve"> UE architecture</w:t>
      </w:r>
      <w:r w:rsidRPr="006E379A">
        <w:rPr>
          <w:rFonts w:ascii="Times New Roman" w:hAnsi="Times New Roman"/>
          <w:kern w:val="0"/>
          <w:sz w:val="20"/>
          <w:szCs w:val="20"/>
          <w:lang w:val="en-GB" w:eastAsia="zh-CN"/>
        </w:rPr>
        <w:t xml:space="preserve"> </w:t>
      </w:r>
      <w:r w:rsidR="006E379A" w:rsidRPr="006E379A">
        <w:rPr>
          <w:rFonts w:ascii="Times New Roman" w:hAnsi="Times New Roman"/>
          <w:kern w:val="0"/>
          <w:sz w:val="20"/>
          <w:szCs w:val="20"/>
          <w:lang w:val="en-GB" w:eastAsia="zh-CN"/>
        </w:rPr>
        <w:t>(e.g., example band combination of intra/inter-band CA with specific antenna arrangement) should be provided.</w:t>
      </w:r>
    </w:p>
    <w:p w14:paraId="1F6753E6" w14:textId="77777777" w:rsidR="00E55D22" w:rsidRDefault="006E379A" w:rsidP="0094240E">
      <w:pPr>
        <w:jc w:val="both"/>
      </w:pPr>
      <w:r>
        <w:t>Only b</w:t>
      </w:r>
      <w:r w:rsidRPr="006E379A">
        <w:t>ased on the above information, the benefits</w:t>
      </w:r>
      <w:r>
        <w:t xml:space="preserve"> comparing to</w:t>
      </w:r>
      <w:r w:rsidR="00301348">
        <w:t xml:space="preserve"> the existing specified solution</w:t>
      </w:r>
      <w:r>
        <w:t xml:space="preserve"> </w:t>
      </w:r>
      <w:r w:rsidR="00301348">
        <w:t>can be further justified</w:t>
      </w:r>
      <w:r w:rsidR="00A84F67">
        <w:t xml:space="preserve">. For instance, </w:t>
      </w:r>
      <w:r w:rsidR="00362EF9">
        <w:t xml:space="preserve">SRS carrier switching with type 3 PHR reporting could be a solution which is supported by specification to fulfil such purpose. </w:t>
      </w:r>
    </w:p>
    <w:p w14:paraId="593BEB9A" w14:textId="6C236451" w:rsidR="00E55D22" w:rsidRPr="00E55D22" w:rsidRDefault="00E55D22" w:rsidP="00E55D22">
      <w:pPr>
        <w:pStyle w:val="af2"/>
        <w:jc w:val="both"/>
        <w:rPr>
          <w:b/>
          <w:i/>
        </w:rPr>
      </w:pPr>
      <w:r>
        <w:rPr>
          <w:b/>
          <w:i/>
        </w:rPr>
        <w:t xml:space="preserve">Observation </w:t>
      </w:r>
      <w:r w:rsidRPr="00CA4E60">
        <w:rPr>
          <w:b/>
          <w:i/>
        </w:rPr>
        <w:t>1:</w:t>
      </w:r>
      <w:r>
        <w:rPr>
          <w:b/>
          <w:i/>
        </w:rPr>
        <w:t xml:space="preserve"> It seems that</w:t>
      </w:r>
      <w:r w:rsidR="00886551">
        <w:rPr>
          <w:b/>
          <w:i/>
        </w:rPr>
        <w:t xml:space="preserve"> </w:t>
      </w:r>
      <w:r w:rsidR="00886551">
        <w:rPr>
          <w:rFonts w:hint="eastAsia"/>
          <w:b/>
          <w:i/>
        </w:rPr>
        <w:t>one</w:t>
      </w:r>
      <w:r w:rsidR="00886551">
        <w:rPr>
          <w:b/>
          <w:i/>
        </w:rPr>
        <w:t xml:space="preserve"> specified solution, which is</w:t>
      </w:r>
      <w:r>
        <w:rPr>
          <w:b/>
          <w:i/>
        </w:rPr>
        <w:t xml:space="preserve"> </w:t>
      </w:r>
      <w:r w:rsidRPr="00E55D22">
        <w:rPr>
          <w:b/>
          <w:i/>
        </w:rPr>
        <w:t>SRS carrier switching with type 3 PHR reporting</w:t>
      </w:r>
      <w:r w:rsidR="00886551">
        <w:rPr>
          <w:b/>
          <w:i/>
        </w:rPr>
        <w:t>,</w:t>
      </w:r>
      <w:r w:rsidRPr="00E55D22">
        <w:rPr>
          <w:b/>
          <w:i/>
        </w:rPr>
        <w:t xml:space="preserve"> can meet the measurement</w:t>
      </w:r>
      <w:r w:rsidR="00205FA3">
        <w:rPr>
          <w:b/>
          <w:i/>
        </w:rPr>
        <w:t xml:space="preserve"> and </w:t>
      </w:r>
      <w:r w:rsidR="00886551">
        <w:rPr>
          <w:b/>
          <w:i/>
        </w:rPr>
        <w:t>reporting</w:t>
      </w:r>
      <w:r w:rsidRPr="00E55D22">
        <w:rPr>
          <w:b/>
          <w:i/>
        </w:rPr>
        <w:t xml:space="preserve"> demand.</w:t>
      </w:r>
    </w:p>
    <w:p w14:paraId="7B8B7F55" w14:textId="587A2800" w:rsidR="00E55D22" w:rsidRDefault="00362EF9" w:rsidP="0094240E">
      <w:pPr>
        <w:jc w:val="both"/>
      </w:pPr>
      <w:r>
        <w:t xml:space="preserve">Besides, </w:t>
      </w:r>
      <w:r w:rsidR="00A84F67">
        <w:t xml:space="preserve">how the gain would be </w:t>
      </w:r>
      <w:r w:rsidR="00E819EC">
        <w:t>weighed</w:t>
      </w:r>
      <w:r w:rsidR="00A84F67">
        <w:t xml:space="preserve"> considering that</w:t>
      </w:r>
      <w:r w:rsidR="0094240E">
        <w:t xml:space="preserve"> i</w:t>
      </w:r>
      <w:r w:rsidR="00A84F67" w:rsidRPr="0094240E">
        <w:t>t is still gNB decision on whethe</w:t>
      </w:r>
      <w:r w:rsidR="0081555C" w:rsidRPr="0094240E">
        <w:t xml:space="preserve">r to </w:t>
      </w:r>
      <w:r w:rsidR="00A84F67" w:rsidRPr="0094240E">
        <w:t>configure UL CC</w:t>
      </w:r>
      <w:r w:rsidR="0081555C" w:rsidRPr="0094240E">
        <w:t xml:space="preserve"> to another band</w:t>
      </w:r>
      <w:r w:rsidR="00A84F67" w:rsidRPr="0094240E">
        <w:t xml:space="preserve"> </w:t>
      </w:r>
      <w:r w:rsidR="0081555C" w:rsidRPr="0094240E">
        <w:t xml:space="preserve">or not </w:t>
      </w:r>
      <w:r w:rsidR="00A84F67" w:rsidRPr="0094240E">
        <w:t xml:space="preserve">and the time consumption </w:t>
      </w:r>
      <w:r w:rsidR="004C487A" w:rsidRPr="0094240E">
        <w:t>of</w:t>
      </w:r>
      <w:r w:rsidR="00A84F67" w:rsidRPr="0094240E">
        <w:t xml:space="preserve"> the RRC reconfiguration</w:t>
      </w:r>
      <w:r w:rsidR="0081555C" w:rsidRPr="0094240E">
        <w:t xml:space="preserve"> procedure comparing to the time-var</w:t>
      </w:r>
      <w:r w:rsidR="00B67414" w:rsidRPr="0094240E">
        <w:t>iant of</w:t>
      </w:r>
      <w:r w:rsidR="0081555C" w:rsidRPr="0094240E">
        <w:t xml:space="preserve"> RF exposure</w:t>
      </w:r>
      <w:r w:rsidR="00E819EC">
        <w:t>,</w:t>
      </w:r>
      <w:r w:rsidR="00E57498">
        <w:t xml:space="preserve"> needs to be further discussed</w:t>
      </w:r>
      <w:r w:rsidR="00A84F67" w:rsidRPr="0094240E">
        <w:t xml:space="preserve">.  </w:t>
      </w:r>
    </w:p>
    <w:p w14:paraId="478B987D" w14:textId="193D281F" w:rsidR="0094240E" w:rsidRPr="0094240E" w:rsidRDefault="00E55D22" w:rsidP="0094240E">
      <w:pPr>
        <w:jc w:val="both"/>
      </w:pPr>
      <w:r>
        <w:rPr>
          <w:b/>
          <w:i/>
        </w:rPr>
        <w:t>Observation 2</w:t>
      </w:r>
      <w:r w:rsidRPr="00CA4E60">
        <w:rPr>
          <w:b/>
          <w:i/>
        </w:rPr>
        <w:t>:</w:t>
      </w:r>
      <w:r>
        <w:rPr>
          <w:b/>
          <w:i/>
        </w:rPr>
        <w:t xml:space="preserve"> </w:t>
      </w:r>
      <w:r w:rsidRPr="00E55D22">
        <w:rPr>
          <w:b/>
          <w:i/>
        </w:rPr>
        <w:t xml:space="preserve">It is not clear how the advertised gain would be </w:t>
      </w:r>
      <w:r w:rsidR="00E819EC" w:rsidRPr="00E819EC">
        <w:rPr>
          <w:b/>
          <w:i/>
        </w:rPr>
        <w:t xml:space="preserve">weighed </w:t>
      </w:r>
      <w:r w:rsidRPr="00E55D22">
        <w:rPr>
          <w:b/>
          <w:i/>
        </w:rPr>
        <w:t>considering that it is still gNB decision on whether to configure UL CC to another band or not and the time consumption of the RRC reconfiguration procedure comparing to the time-variant of RF exposure.</w:t>
      </w:r>
      <w:r w:rsidR="00A84F67">
        <w:t xml:space="preserve"> </w:t>
      </w:r>
      <w:r w:rsidR="006E379A">
        <w:t xml:space="preserve"> </w:t>
      </w:r>
      <w:r w:rsidR="006E379A" w:rsidRPr="006E379A">
        <w:t xml:space="preserve">      </w:t>
      </w:r>
    </w:p>
    <w:p w14:paraId="2BB074E7" w14:textId="5BE098DC" w:rsidR="00B76B89" w:rsidRDefault="00C400C1" w:rsidP="00E57498">
      <w:pPr>
        <w:pStyle w:val="af2"/>
        <w:jc w:val="both"/>
        <w:rPr>
          <w:b/>
          <w:i/>
        </w:rPr>
      </w:pPr>
      <w:r>
        <w:rPr>
          <w:b/>
          <w:i/>
        </w:rPr>
        <w:t xml:space="preserve">Proposal </w:t>
      </w:r>
      <w:r w:rsidRPr="00CA4E60">
        <w:rPr>
          <w:b/>
          <w:i/>
        </w:rPr>
        <w:t>1:</w:t>
      </w:r>
      <w:r>
        <w:rPr>
          <w:b/>
          <w:i/>
        </w:rPr>
        <w:t xml:space="preserve"> </w:t>
      </w:r>
      <w:r w:rsidR="0094240E">
        <w:rPr>
          <w:b/>
          <w:i/>
        </w:rPr>
        <w:t xml:space="preserve">Regarding “PHR reporting for DL CC”, </w:t>
      </w:r>
      <w:r w:rsidR="00B76B89">
        <w:rPr>
          <w:b/>
          <w:i/>
        </w:rPr>
        <w:t>at least the following aspects should be clarified:</w:t>
      </w:r>
    </w:p>
    <w:p w14:paraId="0E28D8DD" w14:textId="1FF3F1DF" w:rsidR="00B76B89" w:rsidRDefault="00B76B89" w:rsidP="00B76B89">
      <w:pPr>
        <w:pStyle w:val="af2"/>
        <w:numPr>
          <w:ilvl w:val="0"/>
          <w:numId w:val="45"/>
        </w:numPr>
        <w:jc w:val="both"/>
        <w:rPr>
          <w:b/>
          <w:i/>
        </w:rPr>
      </w:pPr>
      <w:r>
        <w:rPr>
          <w:b/>
          <w:i/>
        </w:rPr>
        <w:t xml:space="preserve">Whether </w:t>
      </w:r>
      <w:r w:rsidRPr="00E55D22">
        <w:rPr>
          <w:b/>
          <w:i/>
        </w:rPr>
        <w:t>SRS carrier switching with type 3 PHR reporting</w:t>
      </w:r>
      <w:r>
        <w:rPr>
          <w:b/>
          <w:i/>
        </w:rPr>
        <w:t xml:space="preserve"> </w:t>
      </w:r>
      <w:r w:rsidRPr="00E55D22">
        <w:rPr>
          <w:b/>
          <w:i/>
        </w:rPr>
        <w:t xml:space="preserve">can meet the </w:t>
      </w:r>
      <w:r>
        <w:rPr>
          <w:b/>
          <w:i/>
        </w:rPr>
        <w:t xml:space="preserve">same </w:t>
      </w:r>
      <w:r w:rsidRPr="00E55D22">
        <w:rPr>
          <w:b/>
          <w:i/>
        </w:rPr>
        <w:t>measurement</w:t>
      </w:r>
      <w:r>
        <w:rPr>
          <w:b/>
          <w:i/>
        </w:rPr>
        <w:t xml:space="preserve"> and reporting</w:t>
      </w:r>
      <w:r w:rsidRPr="00E55D22">
        <w:rPr>
          <w:b/>
          <w:i/>
        </w:rPr>
        <w:t xml:space="preserve"> demand</w:t>
      </w:r>
      <w:r>
        <w:rPr>
          <w:b/>
          <w:i/>
        </w:rPr>
        <w:t>.</w:t>
      </w:r>
    </w:p>
    <w:p w14:paraId="6C92B331" w14:textId="768C691B" w:rsidR="00B76B89" w:rsidRDefault="00B76B89" w:rsidP="00B76B89">
      <w:pPr>
        <w:pStyle w:val="af2"/>
        <w:numPr>
          <w:ilvl w:val="0"/>
          <w:numId w:val="45"/>
        </w:numPr>
        <w:jc w:val="both"/>
        <w:rPr>
          <w:b/>
          <w:i/>
        </w:rPr>
      </w:pPr>
      <w:r>
        <w:rPr>
          <w:b/>
          <w:i/>
        </w:rPr>
        <w:t>T</w:t>
      </w:r>
      <w:r w:rsidRPr="0094240E">
        <w:rPr>
          <w:b/>
          <w:i/>
        </w:rPr>
        <w:t>he target scenario under specific UE architecture e.g., example band combination of intra/inter-band CA wi</w:t>
      </w:r>
      <w:r>
        <w:rPr>
          <w:b/>
          <w:i/>
        </w:rPr>
        <w:t>th specific antenna arrangement</w:t>
      </w:r>
      <w:r w:rsidRPr="0094240E">
        <w:rPr>
          <w:b/>
          <w:i/>
        </w:rPr>
        <w:t xml:space="preserve"> should be provided</w:t>
      </w:r>
      <w:r>
        <w:rPr>
          <w:b/>
          <w:i/>
        </w:rPr>
        <w:t xml:space="preserve"> along with the details of such UE reporting to prove the potential gain s</w:t>
      </w:r>
      <w:r w:rsidRPr="0094240E">
        <w:rPr>
          <w:b/>
          <w:i/>
        </w:rPr>
        <w:t xml:space="preserve">ince it has been claimed that such demand is rooted from various RF exposure capability of </w:t>
      </w:r>
      <w:r>
        <w:rPr>
          <w:b/>
          <w:i/>
        </w:rPr>
        <w:t>antenna.</w:t>
      </w:r>
    </w:p>
    <w:p w14:paraId="68D3225D" w14:textId="6469B29A" w:rsidR="00FC4664" w:rsidRPr="00FC4664" w:rsidRDefault="00AD2FC9" w:rsidP="00AD2FC9">
      <w:pPr>
        <w:pStyle w:val="2"/>
        <w:spacing w:after="240"/>
        <w:rPr>
          <w:lang w:eastAsia="zh-CN"/>
        </w:rPr>
      </w:pPr>
      <w:r>
        <w:rPr>
          <w:lang w:eastAsia="zh-CN"/>
        </w:rPr>
        <w:lastRenderedPageBreak/>
        <w:t>On the p</w:t>
      </w:r>
      <w:r w:rsidRPr="00AD2FC9">
        <w:rPr>
          <w:lang w:eastAsia="zh-CN"/>
        </w:rPr>
        <w:t>roposals based on power class related information reporting for FR1 carrier</w:t>
      </w:r>
    </w:p>
    <w:p w14:paraId="4C0E51C0" w14:textId="21B3F88E" w:rsidR="00F6114B" w:rsidRDefault="006709A3" w:rsidP="00ED597C">
      <w:pPr>
        <w:jc w:val="both"/>
      </w:pPr>
      <w:r>
        <w:t>For this part</w:t>
      </w:r>
      <w:r w:rsidR="00880AC0">
        <w:t>,</w:t>
      </w:r>
      <w:r w:rsidR="00F209F3">
        <w:t xml:space="preserve"> </w:t>
      </w:r>
      <w:r>
        <w:t>the</w:t>
      </w:r>
      <w:r w:rsidR="00F209F3">
        <w:t xml:space="preserve"> identified </w:t>
      </w:r>
      <w:r w:rsidR="00C57C8B">
        <w:t>issue</w:t>
      </w:r>
      <w:r w:rsidR="00F209F3">
        <w:t xml:space="preserve"> is</w:t>
      </w:r>
      <w:r w:rsidR="00C57C8B">
        <w:t xml:space="preserve"> that the gNB may have limited information on power class fall-back of a HPUE under the current specification design for </w:t>
      </w:r>
      <w:proofErr w:type="spellStart"/>
      <w:r w:rsidR="00C57C8B" w:rsidRPr="00790D73">
        <w:rPr>
          <w:i/>
        </w:rPr>
        <w:t>maxDutyCycle</w:t>
      </w:r>
      <w:proofErr w:type="spellEnd"/>
      <w:r w:rsidR="00C57C8B">
        <w:t xml:space="preserve">. The following </w:t>
      </w:r>
      <w:r>
        <w:t>content</w:t>
      </w:r>
      <w:r w:rsidR="00C57C8B">
        <w:t xml:space="preserve"> of TS 38.101-1 can be </w:t>
      </w:r>
      <w:r w:rsidR="00790D73">
        <w:t>referenced</w:t>
      </w:r>
      <w:r w:rsidR="00C57C8B">
        <w:t xml:space="preserve"> </w:t>
      </w:r>
      <w:r w:rsidR="006979E2">
        <w:t>as a start to</w:t>
      </w:r>
      <w:r w:rsidR="007E499F">
        <w:t xml:space="preserve"> better grasp the root cause of this issue</w:t>
      </w:r>
      <w:r w:rsidR="00C57C8B">
        <w:t xml:space="preserve">.     </w:t>
      </w:r>
      <w:r w:rsidR="00F209F3">
        <w:t xml:space="preserve"> </w:t>
      </w:r>
      <w:r w:rsidR="00880AC0">
        <w:t xml:space="preserve"> </w:t>
      </w:r>
      <w:r w:rsidR="00C57C8B">
        <w:t xml:space="preserve"> </w:t>
      </w:r>
    </w:p>
    <w:tbl>
      <w:tblPr>
        <w:tblStyle w:val="af8"/>
        <w:tblW w:w="0" w:type="auto"/>
        <w:tblLook w:val="04A0" w:firstRow="1" w:lastRow="0" w:firstColumn="1" w:lastColumn="0" w:noHBand="0" w:noVBand="1"/>
      </w:tblPr>
      <w:tblGrid>
        <w:gridCol w:w="9631"/>
      </w:tblGrid>
      <w:tr w:rsidR="00ED0376" w14:paraId="3EAD6AE8" w14:textId="77777777" w:rsidTr="00ED0376">
        <w:tc>
          <w:tcPr>
            <w:tcW w:w="9631" w:type="dxa"/>
          </w:tcPr>
          <w:p w14:paraId="3100D911" w14:textId="77777777" w:rsidR="00840D60" w:rsidRDefault="00840D60" w:rsidP="00840D60">
            <w:pPr>
              <w:rPr>
                <w:rFonts w:eastAsia="Times New Roman"/>
              </w:rPr>
            </w:pPr>
            <w:r>
              <w:t>If a UE supports a different power class than the default UE power class for the band and the supported power class enables the higher maximum output power than that of the default power class:</w:t>
            </w:r>
          </w:p>
          <w:p w14:paraId="08942CB6" w14:textId="77777777" w:rsidR="00840D60" w:rsidRDefault="00840D60" w:rsidP="00840D60">
            <w:pPr>
              <w:pStyle w:val="B10"/>
            </w:pPr>
            <w:r>
              <w:t>-</w:t>
            </w:r>
            <w:r>
              <w:tab/>
              <w:t xml:space="preserve">if the field of UE capability </w:t>
            </w:r>
            <w:r>
              <w:rPr>
                <w:i/>
              </w:rPr>
              <w:t>maxUplinkDutyCycle-PC2-FR1</w:t>
            </w:r>
            <w:r>
              <w:t xml:space="preserve"> is absent and the field of UE capability </w:t>
            </w:r>
            <w:r>
              <w:rPr>
                <w:i/>
                <w:iCs/>
              </w:rPr>
              <w:t>maxUplinkDutyCycle-PC1dot5-MPE-FR1</w:t>
            </w:r>
            <w:r>
              <w:t xml:space="preserve"> is absent and the percentage of uplink symbols transmitted in a certain evaluation period is larger than 50% (The exact evaluation period is no less than one radio frame); or</w:t>
            </w:r>
          </w:p>
          <w:p w14:paraId="3783E9D4" w14:textId="77777777" w:rsidR="00840D60" w:rsidRDefault="00840D60" w:rsidP="00840D60">
            <w:pPr>
              <w:pStyle w:val="B10"/>
            </w:pPr>
            <w:r>
              <w:t>-</w:t>
            </w:r>
            <w:r>
              <w:tab/>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38.306 (The exact evaluation period is no less than one radio frame); or</w:t>
            </w:r>
          </w:p>
          <w:p w14:paraId="5AAE4E32" w14:textId="77777777" w:rsidR="00840D60" w:rsidRDefault="00840D60" w:rsidP="00840D60">
            <w:pPr>
              <w:pStyle w:val="B10"/>
            </w:pPr>
            <w:r>
              <w:t>-</w:t>
            </w:r>
            <w:r>
              <w:tab/>
              <w:t xml:space="preserve">if the field of UE capability </w:t>
            </w:r>
            <w:r>
              <w:rPr>
                <w:i/>
                <w:iCs/>
              </w:rPr>
              <w:t>maxUplinkDutyCycle-PC1dot5-MPE-FR1</w:t>
            </w:r>
            <w:r>
              <w:t xml:space="preserve"> is not absent and half the percentage of uplink symbols transmitted in a certain evaluation period is larger than </w:t>
            </w:r>
            <w:r>
              <w:rPr>
                <w:i/>
                <w:iCs/>
              </w:rPr>
              <w:t>maxUplinkDutyCycle-PC1dot5-MPE-FR1</w:t>
            </w:r>
            <w:r>
              <w:t xml:space="preserve"> as defined in TS 38.306 (The exact evaluation period is no less than one radio frame); or</w:t>
            </w:r>
          </w:p>
          <w:p w14:paraId="6BFAA862" w14:textId="77777777" w:rsidR="00840D60" w:rsidRDefault="00840D60" w:rsidP="00840D60">
            <w:pPr>
              <w:pStyle w:val="B10"/>
            </w:pPr>
            <w:r>
              <w:t>-</w:t>
            </w:r>
            <w:r>
              <w:tab/>
              <w:t>if the IE P-Max as defined in TS 38.331 [7] is provided and set to the maximum output power of the default power class or lower;</w:t>
            </w:r>
          </w:p>
          <w:p w14:paraId="0A1A97BD" w14:textId="77777777" w:rsidR="00840D60" w:rsidRDefault="00840D60" w:rsidP="00840D60">
            <w:pPr>
              <w:pStyle w:val="B10"/>
            </w:pPr>
            <w:r>
              <w:t>-</w:t>
            </w:r>
            <w:r>
              <w:tab/>
              <w:t>shall apply all requirements for the default power class to the supported power class and set the configured transmitted power as specified in clause 6.2.4;</w:t>
            </w:r>
          </w:p>
          <w:p w14:paraId="393BE2EF" w14:textId="77777777" w:rsidR="00840D60" w:rsidRDefault="00840D60" w:rsidP="00840D60">
            <w:pPr>
              <w:pStyle w:val="B10"/>
            </w:pPr>
            <w:r>
              <w:t>-</w:t>
            </w:r>
            <w:r>
              <w:tab/>
              <w:t>else if the UE does not support a power class with higher maximum output power than PC2; or</w:t>
            </w:r>
          </w:p>
          <w:p w14:paraId="497DCA48" w14:textId="77777777" w:rsidR="00840D60" w:rsidRDefault="00840D60" w:rsidP="00840D60">
            <w:pPr>
              <w:pStyle w:val="B10"/>
            </w:pPr>
            <w:r>
              <w:t>-</w:t>
            </w:r>
            <w:r>
              <w:tab/>
              <w:t xml:space="preserve">if the field of UE capability </w:t>
            </w:r>
            <w:r>
              <w:rPr>
                <w:i/>
              </w:rPr>
              <w:t>maxUplinkDutyCycle-PC2-FR1</w:t>
            </w:r>
            <w:r>
              <w:t xml:space="preserve"> is absent and the field of UE capability </w:t>
            </w:r>
            <w:r>
              <w:rPr>
                <w:i/>
                <w:iCs/>
              </w:rPr>
              <w:t>maxUplinkDutyCycle-PC1dot5-MPE-FR1</w:t>
            </w:r>
            <w:r>
              <w:t xml:space="preserve"> is absent and the percentage of uplink symbols transmitted in a certain evaluation period is larger than 25% (The exact evaluation period is no less than one radio frame); or</w:t>
            </w:r>
          </w:p>
          <w:p w14:paraId="79C615BA" w14:textId="77777777" w:rsidR="00840D60" w:rsidRDefault="00840D60" w:rsidP="00840D60">
            <w:pPr>
              <w:pStyle w:val="B10"/>
            </w:pPr>
            <w:r>
              <w:t>-</w:t>
            </w:r>
            <w:r>
              <w:tab/>
              <w:t xml:space="preserve">if the field of UE capability </w:t>
            </w:r>
            <w:r>
              <w:rPr>
                <w:i/>
              </w:rPr>
              <w:t>maxUplinkDutyCycle-PC2-FR1</w:t>
            </w:r>
            <w:r>
              <w:t xml:space="preserve"> is not absent and the percentage of uplink symbols transmitted in a certain evaluation period is larger than 0.5*</w:t>
            </w:r>
            <w:r>
              <w:rPr>
                <w:i/>
              </w:rPr>
              <w:t xml:space="preserve">maxUplinkDutyCycle-PC2-FR1 </w:t>
            </w:r>
            <w:r>
              <w:t>(The exact evaluation period is no less than one radio frame); or</w:t>
            </w:r>
          </w:p>
          <w:p w14:paraId="3F3C7E27" w14:textId="77777777" w:rsidR="00840D60" w:rsidRDefault="00840D60" w:rsidP="00840D60">
            <w:pPr>
              <w:pStyle w:val="B10"/>
            </w:pPr>
            <w:r>
              <w:t>-</w:t>
            </w:r>
            <w:r>
              <w:tab/>
              <w:t xml:space="preserve">if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 or</w:t>
            </w:r>
          </w:p>
          <w:p w14:paraId="0EC06222" w14:textId="77777777" w:rsidR="00840D60" w:rsidRDefault="00840D60" w:rsidP="00840D60">
            <w:pPr>
              <w:pStyle w:val="B10"/>
            </w:pPr>
            <w:r>
              <w:t>-</w:t>
            </w:r>
            <w:r>
              <w:tab/>
              <w:t>if the IE P-Max as defined in TS 38.331 [7] is provided and set to the maximum output power of the power class 2 or lower;</w:t>
            </w:r>
          </w:p>
          <w:p w14:paraId="05815C2A" w14:textId="77777777" w:rsidR="00840D60" w:rsidRDefault="00840D60" w:rsidP="00840D60">
            <w:pPr>
              <w:pStyle w:val="B10"/>
            </w:pPr>
            <w:r>
              <w:t>-</w:t>
            </w:r>
            <w:r>
              <w:tab/>
              <w:t>shall apply all requirements for power class 2 to the supported power class and set the configured transmitted power as specified in clause 6.2.4;</w:t>
            </w:r>
          </w:p>
          <w:p w14:paraId="1737470D" w14:textId="5AC93F1D" w:rsidR="00ED0376" w:rsidRPr="00A970A6" w:rsidRDefault="00840D60" w:rsidP="006F0FB9">
            <w:pPr>
              <w:pStyle w:val="B10"/>
            </w:pPr>
            <w:r>
              <w:t>-</w:t>
            </w:r>
            <w:r>
              <w:tab/>
            </w:r>
            <w:proofErr w:type="gramStart"/>
            <w:r>
              <w:t>else</w:t>
            </w:r>
            <w:proofErr w:type="gramEnd"/>
            <w:r>
              <w:t xml:space="preserve"> shall apply all requirements for the supported power class and set the configured transmitted power as specified in clause 6.2.4.</w:t>
            </w:r>
          </w:p>
        </w:tc>
      </w:tr>
    </w:tbl>
    <w:p w14:paraId="6ED28DBC" w14:textId="15D77ADD" w:rsidR="00855281" w:rsidRDefault="007E499F" w:rsidP="00ED597C">
      <w:pPr>
        <w:jc w:val="both"/>
      </w:pPr>
      <w:r>
        <w:t xml:space="preserve">Based on the above </w:t>
      </w:r>
      <w:r w:rsidR="008B3044">
        <w:t>description</w:t>
      </w:r>
      <w:r w:rsidR="00E53DAA">
        <w:t>,</w:t>
      </w:r>
      <w:r>
        <w:t xml:space="preserve"> </w:t>
      </w:r>
      <w:r w:rsidR="00AE6088">
        <w:t xml:space="preserve">when a HPUE finds out that the ratio of UL symbols over the total symbols within a certain evaluation period exceeds the </w:t>
      </w:r>
      <w:r w:rsidR="0084394B">
        <w:t>indicated</w:t>
      </w:r>
      <w:r w:rsidR="00AE6088">
        <w:t xml:space="preserve"> </w:t>
      </w:r>
      <w:proofErr w:type="spellStart"/>
      <w:r w:rsidR="00AE6088" w:rsidRPr="00855281">
        <w:rPr>
          <w:i/>
        </w:rPr>
        <w:t>maxUplinkDutyCycle</w:t>
      </w:r>
      <w:proofErr w:type="spellEnd"/>
      <w:r w:rsidR="00AE6088">
        <w:t xml:space="preserve">, </w:t>
      </w:r>
      <w:r>
        <w:t>power class fall-back would happen</w:t>
      </w:r>
      <w:r w:rsidR="00AE6088">
        <w:t>,</w:t>
      </w:r>
      <w:r>
        <w:t xml:space="preserve"> </w:t>
      </w:r>
      <w:r w:rsidR="003E0335">
        <w:t xml:space="preserve">i.e., </w:t>
      </w:r>
      <w:r w:rsidR="00AE6088">
        <w:t xml:space="preserve">such HPUE would </w:t>
      </w:r>
      <w:r w:rsidR="003E0335">
        <w:t>set non-zero ΔP</w:t>
      </w:r>
      <w:r w:rsidR="003E0335">
        <w:rPr>
          <w:vertAlign w:val="subscript"/>
        </w:rPr>
        <w:t>PowerClass</w:t>
      </w:r>
      <w:r w:rsidR="0095747B">
        <w:t xml:space="preserve"> to r</w:t>
      </w:r>
      <w:r w:rsidR="003E0335">
        <w:t xml:space="preserve">educe the high limit </w:t>
      </w:r>
      <w:r w:rsidR="00AE6088">
        <w:t>for</w:t>
      </w:r>
      <w:r w:rsidR="003E0335">
        <w:t xml:space="preserve"> configured transmission power</w:t>
      </w:r>
      <w:r w:rsidR="00AE6088">
        <w:t xml:space="preserve"> calculation.</w:t>
      </w:r>
      <w:r w:rsidR="007734AC">
        <w:t xml:space="preserve"> This behaviour is captured in another part of TS 38.101-1.</w:t>
      </w:r>
      <w:r w:rsidR="008B3044">
        <w:t xml:space="preserve"> </w:t>
      </w:r>
    </w:p>
    <w:tbl>
      <w:tblPr>
        <w:tblStyle w:val="af8"/>
        <w:tblW w:w="0" w:type="auto"/>
        <w:tblLook w:val="04A0" w:firstRow="1" w:lastRow="0" w:firstColumn="1" w:lastColumn="0" w:noHBand="0" w:noVBand="1"/>
      </w:tblPr>
      <w:tblGrid>
        <w:gridCol w:w="9631"/>
      </w:tblGrid>
      <w:tr w:rsidR="0038336D" w14:paraId="42CA3336" w14:textId="77777777" w:rsidTr="0038336D">
        <w:tc>
          <w:tcPr>
            <w:tcW w:w="9631" w:type="dxa"/>
          </w:tcPr>
          <w:p w14:paraId="26C1215E" w14:textId="77777777" w:rsidR="0038336D" w:rsidRDefault="0038336D" w:rsidP="0038336D">
            <w:pPr>
              <w:pStyle w:val="EQ"/>
              <w:jc w:val="center"/>
              <w:rPr>
                <w:rFonts w:eastAsia="Times New Roman"/>
              </w:rPr>
            </w:pPr>
            <w:r>
              <w:t>P</w:t>
            </w:r>
            <w:r>
              <w:rPr>
                <w:vertAlign w:val="subscript"/>
              </w:rPr>
              <w:t>CMAX_L,f,c</w:t>
            </w:r>
            <w:r>
              <w:t xml:space="preserve"> ≤  P</w:t>
            </w:r>
            <w:r>
              <w:rPr>
                <w:vertAlign w:val="subscript"/>
              </w:rPr>
              <w:t>CMAX,f,c</w:t>
            </w:r>
            <w:r>
              <w:t xml:space="preserve">  ≤  P</w:t>
            </w:r>
            <w:r>
              <w:rPr>
                <w:vertAlign w:val="subscript"/>
              </w:rPr>
              <w:t>CMAX_H,f,c</w:t>
            </w:r>
            <w:r>
              <w:t xml:space="preserve"> with</w:t>
            </w:r>
          </w:p>
          <w:p w14:paraId="5A29D383" w14:textId="77777777" w:rsidR="0038336D" w:rsidRDefault="0038336D" w:rsidP="0038336D">
            <w:pPr>
              <w:pStyle w:val="EQ"/>
              <w:jc w:val="center"/>
            </w:pPr>
            <w:r>
              <w:tab/>
              <w:t>P</w:t>
            </w:r>
            <w:r>
              <w:rPr>
                <w:vertAlign w:val="subscript"/>
              </w:rPr>
              <w:t>CMAX_L,f,c</w:t>
            </w:r>
            <w:r>
              <w:t xml:space="preserve"> = MIN {P</w:t>
            </w:r>
            <w:r>
              <w:rPr>
                <w:vertAlign w:val="subscript"/>
              </w:rPr>
              <w:t>EMAX,c</w:t>
            </w:r>
            <w:r>
              <w:t>– ∆T</w:t>
            </w:r>
            <w:r>
              <w:rPr>
                <w:vertAlign w:val="subscript"/>
              </w:rPr>
              <w:t>C,c</w:t>
            </w:r>
            <w:r>
              <w:t>,  (P</w:t>
            </w:r>
            <w:r>
              <w:rPr>
                <w:vertAlign w:val="subscript"/>
              </w:rPr>
              <w:t>PowerClass</w:t>
            </w:r>
            <w:r>
              <w:t xml:space="preserve"> – ΔP</w:t>
            </w:r>
            <w:r>
              <w:rPr>
                <w:vertAlign w:val="subscript"/>
              </w:rPr>
              <w:t>PowerClass</w:t>
            </w:r>
            <w:r>
              <w:t>) – MAX(MAX(MPR</w:t>
            </w:r>
            <w:r>
              <w:rPr>
                <w:vertAlign w:val="subscript"/>
              </w:rPr>
              <w:t>c</w:t>
            </w:r>
            <w:r>
              <w:t>+∆MPR</w:t>
            </w:r>
            <w:r>
              <w:rPr>
                <w:vertAlign w:val="subscript"/>
              </w:rPr>
              <w:t>c</w:t>
            </w:r>
            <w:r>
              <w:t>, A-MPR</w:t>
            </w:r>
            <w:r>
              <w:rPr>
                <w:vertAlign w:val="subscript"/>
              </w:rPr>
              <w:t>c</w:t>
            </w:r>
            <w:r>
              <w:t>)+ ΔT</w:t>
            </w:r>
            <w:r>
              <w:rPr>
                <w:vertAlign w:val="subscript"/>
              </w:rPr>
              <w:t>IB,c</w:t>
            </w:r>
            <w:r>
              <w:t xml:space="preserve"> + ∆T</w:t>
            </w:r>
            <w:r>
              <w:rPr>
                <w:vertAlign w:val="subscript"/>
              </w:rPr>
              <w:t xml:space="preserve">C,c </w:t>
            </w:r>
            <w:r>
              <w:t>+</w:t>
            </w:r>
            <w:r>
              <w:rPr>
                <w:vertAlign w:val="subscript"/>
              </w:rPr>
              <w:t xml:space="preserve"> </w:t>
            </w:r>
            <w:r>
              <w:t>∆T</w:t>
            </w:r>
            <w:r>
              <w:rPr>
                <w:vertAlign w:val="subscript"/>
              </w:rPr>
              <w:t>RxSRS</w:t>
            </w:r>
            <w:r>
              <w:t>, P-MPR</w:t>
            </w:r>
            <w:r>
              <w:rPr>
                <w:vertAlign w:val="subscript"/>
              </w:rPr>
              <w:t>c</w:t>
            </w:r>
            <w:r>
              <w:t>) }</w:t>
            </w:r>
          </w:p>
          <w:p w14:paraId="11A4238E" w14:textId="77777777" w:rsidR="0038336D" w:rsidRDefault="0038336D" w:rsidP="0038336D">
            <w:pPr>
              <w:pStyle w:val="EQ"/>
              <w:jc w:val="center"/>
            </w:pPr>
            <w:r>
              <w:t>P</w:t>
            </w:r>
            <w:r>
              <w:rPr>
                <w:vertAlign w:val="subscript"/>
              </w:rPr>
              <w:t>CMAX_H,f,c</w:t>
            </w:r>
            <w:r>
              <w:t xml:space="preserve"> = MIN {P</w:t>
            </w:r>
            <w:r>
              <w:rPr>
                <w:vertAlign w:val="subscript"/>
              </w:rPr>
              <w:t>EMAX,c</w:t>
            </w:r>
            <w:r>
              <w:t>,  P</w:t>
            </w:r>
            <w:r>
              <w:rPr>
                <w:vertAlign w:val="subscript"/>
              </w:rPr>
              <w:t>PowerClass</w:t>
            </w:r>
            <w:r>
              <w:t xml:space="preserve"> – </w:t>
            </w:r>
            <w:r w:rsidRPr="0038336D">
              <w:rPr>
                <w:highlight w:val="yellow"/>
              </w:rPr>
              <w:t>ΔP</w:t>
            </w:r>
            <w:r w:rsidRPr="0038336D">
              <w:rPr>
                <w:highlight w:val="yellow"/>
                <w:vertAlign w:val="subscript"/>
              </w:rPr>
              <w:t>PowerClass</w:t>
            </w:r>
            <w:r>
              <w:t xml:space="preserve"> }</w:t>
            </w:r>
          </w:p>
          <w:p w14:paraId="24CF8686" w14:textId="77777777" w:rsidR="0038336D" w:rsidRDefault="0038336D" w:rsidP="0038336D">
            <w:pPr>
              <w:pStyle w:val="B10"/>
              <w:rPr>
                <w:rFonts w:eastAsia="Times New Roman"/>
              </w:rPr>
            </w:pPr>
            <w:r>
              <w:lastRenderedPageBreak/>
              <w:tab/>
              <w:t>ΔP</w:t>
            </w:r>
            <w:r>
              <w:rPr>
                <w:vertAlign w:val="subscript"/>
              </w:rPr>
              <w:t>PowerClass</w:t>
            </w:r>
            <w:r>
              <w:t xml:space="preserve"> =</w:t>
            </w:r>
          </w:p>
          <w:p w14:paraId="48688358" w14:textId="77777777" w:rsidR="0038336D" w:rsidRDefault="0038336D" w:rsidP="0038336D">
            <w:pPr>
              <w:pStyle w:val="B2"/>
            </w:pPr>
            <w:r>
              <w:t>-</w:t>
            </w:r>
            <w:r>
              <w:tab/>
              <w:t xml:space="preserve">3 dB for a power class 2 capable UE or 6 dB for a power class 1.5 UE when P-max of 23 dBm or lower is indicated; or when the field of UE capability </w:t>
            </w:r>
            <w:r>
              <w:rPr>
                <w:i/>
              </w:rPr>
              <w:t>maxUplinkDutyCycle-PC2-FR1</w:t>
            </w:r>
            <w:r>
              <w:t xml:space="preserve"> is absent and the field of UE capability </w:t>
            </w:r>
            <w:r>
              <w:rPr>
                <w:i/>
                <w:iCs/>
              </w:rPr>
              <w:t>maxUplinkDutyCycle-PC1dot5-MPE-FR1</w:t>
            </w:r>
            <w:r>
              <w:t xml:space="preserve"> is absent and the percentage of uplink symbols transmitted in a certain evaluation period is larger than 50%; or when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38.306 (The exact evaluation period is no less than one radio frame); or when the field of UE capability </w:t>
            </w:r>
            <w:r>
              <w:rPr>
                <w:i/>
              </w:rPr>
              <w:t>maxUplinkDutyCycle-PC1dot5-MPE-FR1</w:t>
            </w:r>
            <w:r>
              <w:t xml:space="preserve"> is not absent and half the percentage of uplink symbols transmitted in a certain evaluation period is larger than </w:t>
            </w:r>
            <w:r>
              <w:rPr>
                <w:i/>
              </w:rPr>
              <w:t>maxUplinkDutyCycle-PC1dot5-MPE-FR1</w:t>
            </w:r>
            <w:r>
              <w:t xml:space="preserve"> as defined in TS 38.306 (The exact evaluation period is no less than one radio frame). </w:t>
            </w:r>
          </w:p>
          <w:p w14:paraId="6C839770" w14:textId="77777777" w:rsidR="0038336D" w:rsidRDefault="0038336D" w:rsidP="0038336D">
            <w:pPr>
              <w:pStyle w:val="B2"/>
            </w:pPr>
            <w:r>
              <w:t>-</w:t>
            </w:r>
            <w:r>
              <w:tab/>
              <w:t xml:space="preserve">3 dB for a power class 1.5 capable UE when P-max of between 23 dBm and 26 dB is indicated; or when the field of UE capability </w:t>
            </w:r>
            <w:r>
              <w:rPr>
                <w:i/>
                <w:iCs/>
              </w:rPr>
              <w:t>maxUplinkDutyCycle-PC2-FR1</w:t>
            </w:r>
            <w:r>
              <w:t xml:space="preserve"> is absent and the field of UE capability </w:t>
            </w:r>
            <w:r>
              <w:rPr>
                <w:i/>
                <w:iCs/>
              </w:rPr>
              <w:t>maxUplinkDutyCycle-PC1dot5-MPE-FR1</w:t>
            </w:r>
            <w:r>
              <w:t xml:space="preserve"> is absent and the percentage of uplink symbols transmitted in a certain evaluation period is between 25% and 50%; or when the field of UE capability </w:t>
            </w:r>
            <w:r>
              <w:rPr>
                <w:i/>
                <w:iCs/>
              </w:rPr>
              <w:t>maxUplinkDutyCycle-PC2-FR1</w:t>
            </w:r>
            <w:r>
              <w:t xml:space="preserve"> is not absent and the percentage of uplink symbols transmitted in a certain evaluation period is between </w:t>
            </w:r>
            <w:r>
              <w:rPr>
                <w:i/>
                <w:iCs/>
              </w:rPr>
              <w:t>maxUplinkDutyCycle-PC2-FR1</w:t>
            </w:r>
            <w:r>
              <w:t xml:space="preserve"> and </w:t>
            </w:r>
            <w:r>
              <w:rPr>
                <w:i/>
                <w:iCs/>
              </w:rPr>
              <w:t>maxUplinkDutyCycle-PC2-FR1/2</w:t>
            </w:r>
            <w:r>
              <w:t xml:space="preserve"> as defined in TS 38.306 (The exact evaluation period is no less than one radio frame);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14:paraId="26AFD6A5" w14:textId="63F5EE24" w:rsidR="0038336D" w:rsidRDefault="0038336D" w:rsidP="0038336D">
            <w:pPr>
              <w:pStyle w:val="B2"/>
            </w:pPr>
            <w:r>
              <w:t>-</w:t>
            </w:r>
            <w:r>
              <w:tab/>
              <w:t xml:space="preserve">3dB when the UE is configured with SUL configurations and the requirements of default power class are applied as specified in sub-clause 6.2C.1 on the band where UE indicates power class 2; </w:t>
            </w:r>
          </w:p>
        </w:tc>
      </w:tr>
    </w:tbl>
    <w:p w14:paraId="4AD1A7A6" w14:textId="77777777" w:rsidR="006C5276" w:rsidRDefault="007F42FA" w:rsidP="00ED597C">
      <w:pPr>
        <w:jc w:val="both"/>
      </w:pPr>
      <w:r>
        <w:lastRenderedPageBreak/>
        <w:t xml:space="preserve">Note that </w:t>
      </w:r>
      <w:proofErr w:type="spellStart"/>
      <w:r>
        <w:t>P</w:t>
      </w:r>
      <w:r>
        <w:rPr>
          <w:vertAlign w:val="subscript"/>
        </w:rPr>
        <w:t>CMAX</w:t>
      </w:r>
      <w:proofErr w:type="gramStart"/>
      <w:r>
        <w:rPr>
          <w:vertAlign w:val="subscript"/>
        </w:rPr>
        <w:t>,f,c</w:t>
      </w:r>
      <w:proofErr w:type="spellEnd"/>
      <w:proofErr w:type="gramEnd"/>
      <w:r>
        <w:t xml:space="preserve"> for a specific transmission occasion</w:t>
      </w:r>
      <w:r w:rsidR="003D299C">
        <w:t xml:space="preserve">, which can be conveyed to network through PHR report, is determined by UE </w:t>
      </w:r>
      <w:r w:rsidR="00CD192A">
        <w:t>based on</w:t>
      </w:r>
      <w:r w:rsidR="003D299C">
        <w:t xml:space="preserve"> a floating range bounded by </w:t>
      </w:r>
      <w:proofErr w:type="spellStart"/>
      <w:r w:rsidR="003D299C">
        <w:t>P</w:t>
      </w:r>
      <w:r w:rsidR="003D299C">
        <w:rPr>
          <w:vertAlign w:val="subscript"/>
        </w:rPr>
        <w:t>CMAX_L,f,c</w:t>
      </w:r>
      <w:proofErr w:type="spellEnd"/>
      <w:r w:rsidR="003D299C">
        <w:t xml:space="preserve"> and </w:t>
      </w:r>
      <w:proofErr w:type="spellStart"/>
      <w:r w:rsidR="003D299C">
        <w:t>P</w:t>
      </w:r>
      <w:r w:rsidR="003D299C">
        <w:rPr>
          <w:vertAlign w:val="subscript"/>
        </w:rPr>
        <w:t>CMAX_H,f,c</w:t>
      </w:r>
      <w:proofErr w:type="spellEnd"/>
      <w:r w:rsidR="003D299C">
        <w:t>. But</w:t>
      </w:r>
      <w:r w:rsidR="006442D2" w:rsidRPr="006442D2">
        <w:t xml:space="preserve"> </w:t>
      </w:r>
      <w:r w:rsidR="006442D2">
        <w:t>from PHR report,</w:t>
      </w:r>
      <w:r w:rsidR="003D299C">
        <w:t xml:space="preserve"> the network cannot deduce the exact power class of which </w:t>
      </w:r>
      <w:r w:rsidR="00A40E41">
        <w:t xml:space="preserve">the UE shall apply the corresponding </w:t>
      </w:r>
      <w:r w:rsidR="003D299C">
        <w:t>requirement</w:t>
      </w:r>
      <w:r w:rsidR="00A40E41">
        <w:t>s.</w:t>
      </w:r>
      <w:r w:rsidR="006442D2">
        <w:t xml:space="preserve"> </w:t>
      </w:r>
    </w:p>
    <w:p w14:paraId="552528D3" w14:textId="0B10D6CE" w:rsidR="006C5276" w:rsidRDefault="006C5276" w:rsidP="006C5276">
      <w:pPr>
        <w:pStyle w:val="af2"/>
        <w:jc w:val="both"/>
        <w:rPr>
          <w:b/>
          <w:i/>
        </w:rPr>
      </w:pPr>
      <w:r w:rsidRPr="00CA4E60">
        <w:rPr>
          <w:rFonts w:hint="eastAsia"/>
          <w:b/>
          <w:i/>
        </w:rPr>
        <w:t>O</w:t>
      </w:r>
      <w:r w:rsidRPr="00CA4E60">
        <w:rPr>
          <w:b/>
          <w:i/>
        </w:rPr>
        <w:t xml:space="preserve">bservation </w:t>
      </w:r>
      <w:r w:rsidR="00E55D22">
        <w:rPr>
          <w:b/>
          <w:i/>
        </w:rPr>
        <w:t>3</w:t>
      </w:r>
      <w:r w:rsidRPr="00CA4E60">
        <w:rPr>
          <w:b/>
          <w:i/>
        </w:rPr>
        <w:t>:</w:t>
      </w:r>
      <w:r>
        <w:rPr>
          <w:b/>
          <w:i/>
        </w:rPr>
        <w:t xml:space="preserve"> When power class fall-back</w:t>
      </w:r>
      <w:r w:rsidR="00D20FC7">
        <w:rPr>
          <w:b/>
          <w:i/>
        </w:rPr>
        <w:t xml:space="preserve"> happens for a </w:t>
      </w:r>
      <w:r w:rsidR="00FD7627">
        <w:rPr>
          <w:b/>
          <w:i/>
        </w:rPr>
        <w:t>HP</w:t>
      </w:r>
      <w:r>
        <w:rPr>
          <w:b/>
          <w:i/>
        </w:rPr>
        <w:t>UE, the network cannot deduce the exact power class</w:t>
      </w:r>
      <w:r w:rsidR="00D20FC7">
        <w:rPr>
          <w:b/>
          <w:i/>
        </w:rPr>
        <w:t>,</w:t>
      </w:r>
      <w:r>
        <w:rPr>
          <w:b/>
          <w:i/>
        </w:rPr>
        <w:t xml:space="preserve"> of which such </w:t>
      </w:r>
      <w:r w:rsidR="00FD7627">
        <w:rPr>
          <w:b/>
          <w:i/>
        </w:rPr>
        <w:t>HP</w:t>
      </w:r>
      <w:r>
        <w:rPr>
          <w:b/>
          <w:i/>
        </w:rPr>
        <w:t>UE shall apply the corresponding requirements</w:t>
      </w:r>
      <w:r w:rsidR="00D20FC7">
        <w:rPr>
          <w:b/>
          <w:i/>
        </w:rPr>
        <w:t>,</w:t>
      </w:r>
      <w:r>
        <w:rPr>
          <w:b/>
          <w:i/>
        </w:rPr>
        <w:t xml:space="preserve"> by PHR report.</w:t>
      </w:r>
    </w:p>
    <w:p w14:paraId="434ABE4C" w14:textId="3E16C589" w:rsidR="00AE6088" w:rsidRDefault="006442D2" w:rsidP="00ED597C">
      <w:pPr>
        <w:jc w:val="both"/>
      </w:pPr>
      <w:r>
        <w:t xml:space="preserve">Consequently, misalignment could happen </w:t>
      </w:r>
      <w:r w:rsidR="00B03A9D">
        <w:t>when power class fall-back happens for a HPUE since at least the following configurations can be dif</w:t>
      </w:r>
      <w:r w:rsidR="00060E84">
        <w:t>ferent depending on the current</w:t>
      </w:r>
      <w:r w:rsidR="00B03A9D">
        <w:t xml:space="preserve"> power class. </w:t>
      </w:r>
      <w:r w:rsidR="00A40E41">
        <w:t xml:space="preserve">  </w:t>
      </w:r>
    </w:p>
    <w:p w14:paraId="0C9168F6" w14:textId="61A5D135" w:rsidR="00AE6088" w:rsidRPr="00562CE2" w:rsidRDefault="00060E84" w:rsidP="00ED597C">
      <w:pPr>
        <w:jc w:val="both"/>
        <w:rPr>
          <w:b/>
          <w:sz w:val="22"/>
          <w:u w:val="single"/>
        </w:rPr>
      </w:pPr>
      <w:r w:rsidRPr="00562CE2">
        <w:rPr>
          <w:b/>
          <w:sz w:val="22"/>
          <w:u w:val="single"/>
        </w:rPr>
        <w:t>Full power transmission mode</w:t>
      </w:r>
    </w:p>
    <w:p w14:paraId="509DBB27" w14:textId="77777777" w:rsidR="00BC2017" w:rsidRDefault="001B161F" w:rsidP="00ED597C">
      <w:pPr>
        <w:jc w:val="both"/>
      </w:pPr>
      <w:r>
        <w:t xml:space="preserve">Considering a UE with dual PC2 PAs to support PC1.5 </w:t>
      </w:r>
      <w:r w:rsidR="00550EBE">
        <w:t>MOP</w:t>
      </w:r>
      <w:r>
        <w:t xml:space="preserve">, it </w:t>
      </w:r>
      <w:r w:rsidR="00FD3695">
        <w:t>can</w:t>
      </w:r>
      <w:r>
        <w:t xml:space="preserve"> report </w:t>
      </w:r>
      <w:r>
        <w:rPr>
          <w:i/>
          <w:iCs/>
        </w:rPr>
        <w:t>ul-FullPwrMode1-r16</w:t>
      </w:r>
      <w:r>
        <w:t xml:space="preserve"> (mode 1) to facilitate full power transmission</w:t>
      </w:r>
      <w:r w:rsidR="00EA3A59">
        <w:t xml:space="preserve"> for</w:t>
      </w:r>
      <w:r>
        <w:t xml:space="preserve"> PUSCH.</w:t>
      </w:r>
      <w:r w:rsidR="00FD3695">
        <w:t xml:space="preserve"> When power class fall-back happens, it would be better to report</w:t>
      </w:r>
      <w:r w:rsidR="00FD3695" w:rsidRPr="00FD3695">
        <w:rPr>
          <w:i/>
          <w:iCs/>
        </w:rPr>
        <w:t xml:space="preserve"> </w:t>
      </w:r>
      <w:r w:rsidR="00FD3695">
        <w:rPr>
          <w:i/>
          <w:iCs/>
        </w:rPr>
        <w:t>ul-FullPwrMode-r16</w:t>
      </w:r>
      <w:r w:rsidR="00FD3695">
        <w:t xml:space="preserve"> (mode 0) instead</w:t>
      </w:r>
      <w:r w:rsidR="003E191E">
        <w:t xml:space="preserve"> since each </w:t>
      </w:r>
      <w:proofErr w:type="gramStart"/>
      <w:r w:rsidR="003E191E">
        <w:t>Tx</w:t>
      </w:r>
      <w:proofErr w:type="gramEnd"/>
      <w:r w:rsidR="003E191E">
        <w:t xml:space="preserve"> chain is capable of 26 dBm MOP</w:t>
      </w:r>
      <w:r w:rsidR="00EA3A59">
        <w:t>.</w:t>
      </w:r>
      <w:r w:rsidR="00FD3695">
        <w:t xml:space="preserve"> </w:t>
      </w:r>
      <w:r w:rsidR="00EA3A59">
        <w:t>B</w:t>
      </w:r>
      <w:r w:rsidR="00FD3695">
        <w:t xml:space="preserve">ecause </w:t>
      </w:r>
      <w:r w:rsidR="00EA3A59">
        <w:t xml:space="preserve">it would provide the flexibility for selecting the </w:t>
      </w:r>
      <w:r w:rsidR="003E191E">
        <w:t>most suitable</w:t>
      </w:r>
      <w:r w:rsidR="00EA3A59">
        <w:t xml:space="preserve"> </w:t>
      </w:r>
      <w:proofErr w:type="gramStart"/>
      <w:r w:rsidR="00EA3A59">
        <w:t>Tx</w:t>
      </w:r>
      <w:proofErr w:type="gramEnd"/>
      <w:r w:rsidR="00EA3A59">
        <w:t xml:space="preserve"> chain rather than force the UE, especially for the one with non-coherent Tx chains</w:t>
      </w:r>
      <w:r w:rsidR="001A0A55">
        <w:t>’ implementation</w:t>
      </w:r>
      <w:r w:rsidR="00EA3A59">
        <w:t>, to maintain both Tx chains activated.</w:t>
      </w:r>
    </w:p>
    <w:p w14:paraId="53206278" w14:textId="4ABAE8C2" w:rsidR="006937DE" w:rsidRDefault="00BC2017" w:rsidP="00ED597C">
      <w:pPr>
        <w:jc w:val="both"/>
      </w:pPr>
      <w:r>
        <w:t>This issue can be better illustrated if we further consider a 4Tx</w:t>
      </w:r>
      <w:r w:rsidR="009232F0">
        <w:t xml:space="preserve"> non-coherent</w:t>
      </w:r>
      <w:r>
        <w:t xml:space="preserve"> UE </w:t>
      </w:r>
      <w:r w:rsidR="00923F40">
        <w:t>with</w:t>
      </w:r>
      <w:r>
        <w:t xml:space="preserve"> PC1.5 MOP</w:t>
      </w:r>
      <w:r w:rsidR="00923F40">
        <w:t xml:space="preserve"> and</w:t>
      </w:r>
      <w:r>
        <w:t xml:space="preserve"> </w:t>
      </w:r>
      <w:r w:rsidR="00923F40">
        <w:t xml:space="preserve">2*PC3+2*PC2 </w:t>
      </w:r>
      <w:r>
        <w:t>PA configuration.</w:t>
      </w:r>
      <w:r w:rsidR="00923F40">
        <w:t xml:space="preserve"> </w:t>
      </w:r>
      <w:r w:rsidR="006937DE">
        <w:t xml:space="preserve">Such UE can </w:t>
      </w:r>
      <w:r w:rsidR="002004E9">
        <w:t xml:space="preserve">only </w:t>
      </w:r>
      <w:r w:rsidR="006937DE">
        <w:t>report</w:t>
      </w:r>
      <w:r w:rsidR="002004E9">
        <w:t xml:space="preserve"> </w:t>
      </w:r>
      <w:r w:rsidR="002004E9">
        <w:rPr>
          <w:i/>
          <w:iCs/>
        </w:rPr>
        <w:t>ul-FullPwrMode1-r16</w:t>
      </w:r>
      <w:r w:rsidR="006937DE">
        <w:t xml:space="preserve"> </w:t>
      </w:r>
      <w:r w:rsidR="002004E9">
        <w:t xml:space="preserve">to support </w:t>
      </w:r>
      <w:r w:rsidR="006937DE">
        <w:t>full power transmission.</w:t>
      </w:r>
      <w:r w:rsidR="002004E9">
        <w:t xml:space="preserve"> But when power class</w:t>
      </w:r>
      <w:r w:rsidR="009232F0">
        <w:t xml:space="preserve"> is</w:t>
      </w:r>
      <w:r w:rsidR="002004E9">
        <w:t xml:space="preserve"> fall</w:t>
      </w:r>
      <w:r w:rsidR="009232F0">
        <w:t>ing</w:t>
      </w:r>
      <w:r w:rsidR="00632296">
        <w:t xml:space="preserve"> </w:t>
      </w:r>
      <w:r w:rsidR="002004E9">
        <w:t>back</w:t>
      </w:r>
      <w:r w:rsidR="00632296">
        <w:t xml:space="preserve"> to PC2</w:t>
      </w:r>
      <w:r w:rsidR="002004E9">
        <w:t>,</w:t>
      </w:r>
      <w:r w:rsidR="009232F0">
        <w:t xml:space="preserve"> </w:t>
      </w:r>
      <w:r w:rsidR="009232F0">
        <w:rPr>
          <w:i/>
          <w:iCs/>
        </w:rPr>
        <w:t>ul-FullPwrMode2-r16</w:t>
      </w:r>
      <w:r w:rsidR="009232F0">
        <w:t xml:space="preserve"> and </w:t>
      </w:r>
      <w:r w:rsidR="009232F0" w:rsidRPr="009232F0">
        <w:rPr>
          <w:i/>
        </w:rPr>
        <w:t>g0g1g3</w:t>
      </w:r>
      <w:r w:rsidR="009232F0">
        <w:t xml:space="preserve"> TPMI groups (</w:t>
      </w:r>
      <w:r w:rsidR="00106AB8">
        <w:t>utilizing single PC2 Tx chain,</w:t>
      </w:r>
      <w:r w:rsidR="009232F0">
        <w:t xml:space="preserve"> dual PC3 Tx chains</w:t>
      </w:r>
      <w:r w:rsidR="00106AB8">
        <w:t xml:space="preserve"> or other combination to </w:t>
      </w:r>
      <w:r w:rsidR="001B6971">
        <w:t>realize</w:t>
      </w:r>
      <w:r w:rsidR="00106AB8">
        <w:t xml:space="preserve"> PC2 </w:t>
      </w:r>
      <w:r w:rsidR="00762E71">
        <w:t xml:space="preserve">transmission </w:t>
      </w:r>
      <w:r w:rsidR="00106AB8">
        <w:t>for PUSCH</w:t>
      </w:r>
      <w:r w:rsidR="009232F0">
        <w:t xml:space="preserve">) could be better choice based on similar reasons as we explained in the previous paragraph.   </w:t>
      </w:r>
    </w:p>
    <w:p w14:paraId="5E769046" w14:textId="3A645803" w:rsidR="00D44383" w:rsidRDefault="00A41D0F" w:rsidP="00D23188">
      <w:pPr>
        <w:pStyle w:val="af2"/>
        <w:jc w:val="both"/>
        <w:rPr>
          <w:b/>
          <w:i/>
        </w:rPr>
      </w:pPr>
      <w:r w:rsidRPr="00CA4E60">
        <w:rPr>
          <w:rFonts w:hint="eastAsia"/>
          <w:b/>
          <w:i/>
        </w:rPr>
        <w:t>O</w:t>
      </w:r>
      <w:r w:rsidRPr="00CA4E60">
        <w:rPr>
          <w:b/>
          <w:i/>
        </w:rPr>
        <w:t xml:space="preserve">bservation </w:t>
      </w:r>
      <w:r w:rsidR="00E55D22">
        <w:rPr>
          <w:b/>
          <w:i/>
        </w:rPr>
        <w:t>4</w:t>
      </w:r>
      <w:r w:rsidRPr="00CA4E60">
        <w:rPr>
          <w:b/>
          <w:i/>
        </w:rPr>
        <w:t>:</w:t>
      </w:r>
      <w:r>
        <w:rPr>
          <w:b/>
          <w:i/>
        </w:rPr>
        <w:t xml:space="preserve"> </w:t>
      </w:r>
      <w:r w:rsidR="00434CDD">
        <w:rPr>
          <w:b/>
          <w:i/>
        </w:rPr>
        <w:t>The full power transmission capability of HPUE can be different from that under advertised power class when power class fall-back happens.</w:t>
      </w:r>
    </w:p>
    <w:p w14:paraId="0F7A48A8" w14:textId="27A3E9EE" w:rsidR="00060E84" w:rsidRPr="00562CE2" w:rsidRDefault="00060E84" w:rsidP="00ED597C">
      <w:pPr>
        <w:jc w:val="both"/>
        <w:rPr>
          <w:b/>
          <w:sz w:val="22"/>
          <w:u w:val="single"/>
        </w:rPr>
      </w:pPr>
      <w:r w:rsidRPr="00562CE2">
        <w:rPr>
          <w:b/>
          <w:sz w:val="22"/>
          <w:u w:val="single"/>
        </w:rPr>
        <w:t>Low</w:t>
      </w:r>
      <w:r w:rsidR="00DC7A0C">
        <w:rPr>
          <w:b/>
          <w:sz w:val="22"/>
          <w:u w:val="single"/>
        </w:rPr>
        <w:t>-</w:t>
      </w:r>
      <w:r w:rsidRPr="00562CE2">
        <w:rPr>
          <w:b/>
          <w:sz w:val="22"/>
          <w:u w:val="single"/>
        </w:rPr>
        <w:t xml:space="preserve">MSD </w:t>
      </w:r>
      <w:r w:rsidR="00562CE2">
        <w:rPr>
          <w:b/>
          <w:sz w:val="22"/>
          <w:u w:val="single"/>
        </w:rPr>
        <w:t>capability</w:t>
      </w:r>
    </w:p>
    <w:p w14:paraId="26C65048" w14:textId="2CD9FB5E" w:rsidR="00762E71" w:rsidRDefault="00424F43" w:rsidP="00ED597C">
      <w:pPr>
        <w:jc w:val="both"/>
      </w:pPr>
      <w:r>
        <w:t>In Rel-18, the low</w:t>
      </w:r>
      <w:r w:rsidR="00DC7A0C">
        <w:t>-</w:t>
      </w:r>
      <w:r>
        <w:t>MSD feature is under study</w:t>
      </w:r>
      <w:r w:rsidR="002F4F10">
        <w:t xml:space="preserve"> and</w:t>
      </w:r>
      <w:r>
        <w:t xml:space="preserve"> it is RAN4 consensus that there are benefits to allow UE report</w:t>
      </w:r>
      <w:r w:rsidR="00DC7A0C">
        <w:t xml:space="preserve"> its low-</w:t>
      </w:r>
      <w:r w:rsidR="00F531DB">
        <w:t>MSD capability to help</w:t>
      </w:r>
      <w:r>
        <w:t xml:space="preserve"> network</w:t>
      </w:r>
      <w:r w:rsidR="00F531DB">
        <w:t xml:space="preserve"> make more reasonable scheduling decisions.</w:t>
      </w:r>
      <w:r w:rsidR="00762E71">
        <w:t xml:space="preserve"> It is worthy to note that </w:t>
      </w:r>
      <w:r w:rsidR="00434CDD">
        <w:t xml:space="preserve">from UE perspective </w:t>
      </w:r>
      <w:r w:rsidR="00762E71">
        <w:t xml:space="preserve">the actual </w:t>
      </w:r>
      <w:r w:rsidR="00675543">
        <w:t>low-</w:t>
      </w:r>
      <w:r w:rsidR="00762E71">
        <w:t xml:space="preserve">MSD capability can be different depending on the current </w:t>
      </w:r>
      <w:r w:rsidR="00633A9B">
        <w:t>MOP</w:t>
      </w:r>
      <w:r w:rsidR="00434CDD">
        <w:t xml:space="preserve"> (with given DL/UL carrier frequencies and RB allocations)</w:t>
      </w:r>
      <w:r w:rsidR="00633A9B">
        <w:t xml:space="preserve"> and may not be linearly decreasing when power class fall-back happens.</w:t>
      </w:r>
    </w:p>
    <w:p w14:paraId="3A5194E9" w14:textId="32724950" w:rsidR="00633A9B" w:rsidRDefault="00DC7A0C" w:rsidP="00DC7A0C">
      <w:pPr>
        <w:pStyle w:val="af2"/>
        <w:jc w:val="both"/>
        <w:rPr>
          <w:b/>
          <w:i/>
        </w:rPr>
      </w:pPr>
      <w:r w:rsidRPr="00CA4E60">
        <w:rPr>
          <w:rFonts w:hint="eastAsia"/>
          <w:b/>
          <w:i/>
        </w:rPr>
        <w:t>O</w:t>
      </w:r>
      <w:r w:rsidRPr="00CA4E60">
        <w:rPr>
          <w:b/>
          <w:i/>
        </w:rPr>
        <w:t xml:space="preserve">bservation </w:t>
      </w:r>
      <w:r w:rsidR="00E55D22">
        <w:rPr>
          <w:b/>
          <w:i/>
        </w:rPr>
        <w:t>5</w:t>
      </w:r>
      <w:r w:rsidRPr="00CA4E60">
        <w:rPr>
          <w:b/>
          <w:i/>
        </w:rPr>
        <w:t>:</w:t>
      </w:r>
      <w:r>
        <w:rPr>
          <w:b/>
          <w:i/>
        </w:rPr>
        <w:t xml:space="preserve"> The </w:t>
      </w:r>
      <w:r w:rsidR="00633A9B">
        <w:rPr>
          <w:b/>
          <w:i/>
        </w:rPr>
        <w:t>low-MSD</w:t>
      </w:r>
      <w:r>
        <w:rPr>
          <w:b/>
          <w:i/>
        </w:rPr>
        <w:t xml:space="preserve"> capability of HPUE can be different </w:t>
      </w:r>
      <w:r w:rsidR="00633A9B">
        <w:rPr>
          <w:b/>
          <w:i/>
        </w:rPr>
        <w:t xml:space="preserve">and may not be linearly decreasing when power class fall-back happens.  </w:t>
      </w:r>
    </w:p>
    <w:p w14:paraId="5A6BDE8E" w14:textId="77777777" w:rsidR="008B57ED" w:rsidRDefault="00D44383" w:rsidP="00ED597C">
      <w:pPr>
        <w:jc w:val="both"/>
      </w:pPr>
      <w:r>
        <w:lastRenderedPageBreak/>
        <w:t>As proposed in [</w:t>
      </w:r>
      <w:r w:rsidR="00F875DC">
        <w:t>4</w:t>
      </w:r>
      <w:r>
        <w:t>], reusing PHR report process to enable UE report non-zero ΔP</w:t>
      </w:r>
      <w:r>
        <w:rPr>
          <w:vertAlign w:val="subscript"/>
        </w:rPr>
        <w:t xml:space="preserve">PowerClass </w:t>
      </w:r>
      <w:r>
        <w:t xml:space="preserve">could be a way to align the understanding of power class fall-back timing between gNB and UE. </w:t>
      </w:r>
      <w:r w:rsidR="00F875DC">
        <w:t xml:space="preserve">We think it would be a complete solution to also include the full power transmission mode capability for the current fall-back power class into the enhanced PHR report. </w:t>
      </w:r>
    </w:p>
    <w:p w14:paraId="5942C8E9" w14:textId="7745CA45" w:rsidR="00F875DC" w:rsidRDefault="00F875DC" w:rsidP="00ED597C">
      <w:pPr>
        <w:jc w:val="both"/>
      </w:pPr>
      <w:r>
        <w:t>As for low-MSD capability, dynamic report will not be considered in this release according to the latest agreement in WF [5].</w:t>
      </w:r>
      <w:r w:rsidR="00542C4D">
        <w:t xml:space="preserve"> So let the network to be aware of power class fall-back and the pre-reported e.g., per power class low-MSD capability from UE can solve this issue to a certain extend.</w:t>
      </w:r>
    </w:p>
    <w:p w14:paraId="4FB46E73" w14:textId="6CB85153" w:rsidR="008B19E3" w:rsidRDefault="008B19E3" w:rsidP="00ED597C">
      <w:pPr>
        <w:jc w:val="both"/>
      </w:pPr>
      <w:r>
        <w:t xml:space="preserve">However, we also understand that RAN4 may be lack of interests of this solution because </w:t>
      </w:r>
      <w:proofErr w:type="spellStart"/>
      <w:r w:rsidRPr="00790D73">
        <w:rPr>
          <w:i/>
        </w:rPr>
        <w:t>maxDutyCycle</w:t>
      </w:r>
      <w:proofErr w:type="spellEnd"/>
      <w:r>
        <w:t xml:space="preserve"> has not been widely implemented yet, but the issue is identified based on the existing specification solution.</w:t>
      </w:r>
    </w:p>
    <w:p w14:paraId="7614BE2E" w14:textId="14D0F39C" w:rsidR="008B19E3" w:rsidRDefault="00991B77" w:rsidP="00542C4D">
      <w:pPr>
        <w:jc w:val="both"/>
        <w:rPr>
          <w:b/>
          <w:i/>
        </w:rPr>
      </w:pPr>
      <w:r>
        <w:rPr>
          <w:b/>
          <w:i/>
        </w:rPr>
        <w:t>Proposal</w:t>
      </w:r>
      <w:r w:rsidR="00542C4D">
        <w:rPr>
          <w:b/>
          <w:i/>
        </w:rPr>
        <w:t xml:space="preserve"> </w:t>
      </w:r>
      <w:r w:rsidR="008B19E3">
        <w:rPr>
          <w:b/>
          <w:i/>
        </w:rPr>
        <w:t>2</w:t>
      </w:r>
      <w:r w:rsidR="005870EA">
        <w:rPr>
          <w:b/>
          <w:i/>
        </w:rPr>
        <w:t xml:space="preserve">: </w:t>
      </w:r>
      <w:r w:rsidR="00542C4D">
        <w:rPr>
          <w:b/>
          <w:i/>
        </w:rPr>
        <w:t xml:space="preserve">For FR1 PHR enhancement, allow the UE to report </w:t>
      </w:r>
      <w:r w:rsidR="00542C4D" w:rsidRPr="00542C4D">
        <w:rPr>
          <w:b/>
          <w:i/>
        </w:rPr>
        <w:t>ΔP</w:t>
      </w:r>
      <w:r w:rsidR="00542C4D" w:rsidRPr="00542C4D">
        <w:rPr>
          <w:b/>
          <w:i/>
          <w:vertAlign w:val="subscript"/>
        </w:rPr>
        <w:t>PowerClass</w:t>
      </w:r>
      <w:r w:rsidR="001A25D9">
        <w:rPr>
          <w:b/>
          <w:i/>
        </w:rPr>
        <w:t xml:space="preserve">, </w:t>
      </w:r>
      <w:r w:rsidR="00542C4D">
        <w:rPr>
          <w:b/>
          <w:i/>
        </w:rPr>
        <w:t xml:space="preserve">in order to align the </w:t>
      </w:r>
      <w:r w:rsidR="00542C4D" w:rsidRPr="00542C4D">
        <w:rPr>
          <w:b/>
          <w:i/>
        </w:rPr>
        <w:t>understanding of power class fall-back timing between gNB and UE</w:t>
      </w:r>
      <w:r w:rsidR="001A25D9">
        <w:rPr>
          <w:b/>
          <w:i/>
        </w:rPr>
        <w:t>,</w:t>
      </w:r>
      <w:r w:rsidR="00542C4D">
        <w:rPr>
          <w:b/>
          <w:i/>
        </w:rPr>
        <w:t xml:space="preserve"> and the full power transmission capability for the current fall-back power class</w:t>
      </w:r>
      <w:r w:rsidR="001A25D9">
        <w:rPr>
          <w:b/>
          <w:i/>
        </w:rPr>
        <w:t xml:space="preserve"> to guarantee </w:t>
      </w:r>
      <w:r w:rsidR="008B57ED">
        <w:rPr>
          <w:b/>
          <w:i/>
        </w:rPr>
        <w:t>more reasonable UL scheduling</w:t>
      </w:r>
      <w:r w:rsidR="00327B5C">
        <w:rPr>
          <w:b/>
          <w:i/>
        </w:rPr>
        <w:t>.</w:t>
      </w:r>
      <w:r w:rsidR="005870EA">
        <w:rPr>
          <w:b/>
          <w:i/>
        </w:rPr>
        <w:t xml:space="preserve"> </w:t>
      </w:r>
    </w:p>
    <w:p w14:paraId="794D2D30" w14:textId="2BE9505B" w:rsidR="0030511C" w:rsidRPr="00FC4664" w:rsidRDefault="003B48B9" w:rsidP="0030511C">
      <w:pPr>
        <w:pStyle w:val="2"/>
        <w:spacing w:after="240"/>
        <w:rPr>
          <w:lang w:eastAsia="zh-CN"/>
        </w:rPr>
      </w:pPr>
      <w:r>
        <w:rPr>
          <w:lang w:eastAsia="zh-CN"/>
        </w:rPr>
        <w:t xml:space="preserve">On whether to introduce P-MPR report for FR1 </w:t>
      </w:r>
    </w:p>
    <w:p w14:paraId="629E6D9F" w14:textId="58FF816A" w:rsidR="000610FF" w:rsidRDefault="000610FF" w:rsidP="000610FF">
      <w:pPr>
        <w:jc w:val="both"/>
      </w:pPr>
      <w:r>
        <w:t xml:space="preserve">During the discussion, the concern on the necessity of introducing P-MPR report for FR1 has not been addressed yet. Comparing to FR2, we </w:t>
      </w:r>
      <w:r w:rsidR="00E1776D">
        <w:t xml:space="preserve">are </w:t>
      </w:r>
      <w:r>
        <w:t xml:space="preserve">still not </w:t>
      </w:r>
      <w:r w:rsidR="00E1776D">
        <w:t>convinced that</w:t>
      </w:r>
      <w:r>
        <w:t xml:space="preserve"> </w:t>
      </w:r>
      <w:r w:rsidR="00E1776D">
        <w:t>it can reach</w:t>
      </w:r>
      <w:r>
        <w:t xml:space="preserve"> </w:t>
      </w:r>
      <w:r w:rsidR="00E1776D">
        <w:t xml:space="preserve">similar or even severer risk of link failure due to P-MPR for FR1 carrier.    </w:t>
      </w:r>
    </w:p>
    <w:p w14:paraId="39CC9BCA" w14:textId="4E4C4432" w:rsidR="008B19E3" w:rsidRDefault="008B19E3" w:rsidP="00542C4D">
      <w:pPr>
        <w:jc w:val="both"/>
      </w:pPr>
      <w:r>
        <w:rPr>
          <w:b/>
          <w:i/>
        </w:rPr>
        <w:t>Proposal 3: Do not consider</w:t>
      </w:r>
      <w:r w:rsidR="00E1776D">
        <w:rPr>
          <w:b/>
          <w:i/>
        </w:rPr>
        <w:t xml:space="preserve"> P-MPR report for FR1 carrier.</w:t>
      </w:r>
    </w:p>
    <w:p w14:paraId="456CC5BD" w14:textId="576A74D9" w:rsidR="003B48B9" w:rsidRPr="00FC4664" w:rsidRDefault="003B48B9" w:rsidP="003B48B9">
      <w:pPr>
        <w:pStyle w:val="2"/>
        <w:spacing w:after="240"/>
        <w:rPr>
          <w:lang w:eastAsia="zh-CN"/>
        </w:rPr>
      </w:pPr>
      <w:r>
        <w:rPr>
          <w:lang w:eastAsia="zh-CN"/>
        </w:rPr>
        <w:t>On the p</w:t>
      </w:r>
      <w:r w:rsidRPr="003B48B9">
        <w:rPr>
          <w:lang w:eastAsia="zh-CN"/>
        </w:rPr>
        <w:t>roposals based on ‘duration’ information reporting for FR1 carrier</w:t>
      </w:r>
    </w:p>
    <w:p w14:paraId="6BE65075" w14:textId="0C9FC32C" w:rsidR="00E1776D" w:rsidRDefault="00E1776D" w:rsidP="00E1776D">
      <w:pPr>
        <w:jc w:val="both"/>
      </w:pPr>
      <w:r>
        <w:t xml:space="preserve">Regarding Option 2, from UE perspective, </w:t>
      </w:r>
      <w:r w:rsidR="00DF1874">
        <w:t xml:space="preserve">it is hard to understand how UE could anticipate the time duration with unchanged P-MPR considering that the reason </w:t>
      </w:r>
      <w:r w:rsidR="007C6C15">
        <w:t xml:space="preserve">to cause P-MPR e.g., proximity of human tissue, may not be easy to forecast. </w:t>
      </w:r>
      <w:r>
        <w:t>From gNB perspective, whether such</w:t>
      </w:r>
      <w:r w:rsidR="007C6C15">
        <w:t xml:space="preserve"> information, very likely to be UE specific, could be beneficial for scheduling without additional implementation complexity needs further clarification. </w:t>
      </w:r>
    </w:p>
    <w:p w14:paraId="726F638E" w14:textId="1FD1D8BE" w:rsidR="0088558B" w:rsidRDefault="008B19E3" w:rsidP="00542C4D">
      <w:pPr>
        <w:jc w:val="both"/>
        <w:rPr>
          <w:b/>
          <w:i/>
        </w:rPr>
      </w:pPr>
      <w:r>
        <w:rPr>
          <w:b/>
          <w:i/>
        </w:rPr>
        <w:t>Proposal 4</w:t>
      </w:r>
      <w:r w:rsidR="00D41825">
        <w:rPr>
          <w:b/>
          <w:i/>
        </w:rPr>
        <w:t xml:space="preserve">: Do not consider </w:t>
      </w:r>
      <w:r w:rsidR="007C6C15">
        <w:rPr>
          <w:b/>
          <w:i/>
        </w:rPr>
        <w:t>‘duration’ information reporting</w:t>
      </w:r>
      <w:r w:rsidR="00D41825">
        <w:rPr>
          <w:b/>
          <w:i/>
        </w:rPr>
        <w:t xml:space="preserve">. </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6672B8B1" w14:textId="631D41AA" w:rsidR="00331B42" w:rsidRPr="0008183E" w:rsidRDefault="00AB1467" w:rsidP="00331B42">
      <w:pPr>
        <w:jc w:val="both"/>
        <w:rPr>
          <w:b/>
          <w:i/>
          <w:lang w:val="en-US"/>
        </w:rPr>
      </w:pPr>
      <w:r w:rsidRPr="00086BFD">
        <w:t>In this contribution we discussed</w:t>
      </w:r>
      <w:r>
        <w:rPr>
          <w:rFonts w:hint="eastAsia"/>
        </w:rPr>
        <w:t xml:space="preserve"> </w:t>
      </w:r>
      <w:r w:rsidRPr="00086BFD">
        <w:t>on the</w:t>
      </w:r>
      <w:r w:rsidR="0052664A">
        <w:t xml:space="preserve"> first objective of</w:t>
      </w:r>
      <w:r w:rsidR="00B27CF3">
        <w:t xml:space="preserve"> </w:t>
      </w:r>
      <w:r w:rsidR="0052664A">
        <w:t xml:space="preserve">the </w:t>
      </w:r>
      <w:r w:rsidR="00B27CF3">
        <w:t>Rel-18</w:t>
      </w:r>
      <w:r>
        <w:t xml:space="preserve"> </w:t>
      </w:r>
      <w:r w:rsidR="00B27CF3" w:rsidRPr="00B27CF3">
        <w:t>further enhancement for NR UL coverage</w:t>
      </w:r>
      <w:r w:rsidR="0052664A">
        <w:t xml:space="preserve"> WI</w:t>
      </w:r>
      <w:r w:rsidRPr="00086BFD">
        <w:t xml:space="preserve">, we have the following </w:t>
      </w:r>
      <w:r w:rsidR="00FB341C">
        <w:t>observation</w:t>
      </w:r>
      <w:r w:rsidR="00331B42">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3F1DA9B1" w14:textId="78EC78D2" w:rsidR="00E55D22" w:rsidRPr="00E55D22" w:rsidRDefault="00E55D22" w:rsidP="00E55D22">
      <w:pPr>
        <w:pStyle w:val="af2"/>
        <w:jc w:val="both"/>
        <w:rPr>
          <w:b/>
          <w:i/>
        </w:rPr>
      </w:pPr>
      <w:r>
        <w:rPr>
          <w:b/>
          <w:i/>
        </w:rPr>
        <w:t xml:space="preserve">Observation </w:t>
      </w:r>
      <w:r w:rsidRPr="00CA4E60">
        <w:rPr>
          <w:b/>
          <w:i/>
        </w:rPr>
        <w:t>1:</w:t>
      </w:r>
      <w:r>
        <w:rPr>
          <w:b/>
          <w:i/>
        </w:rPr>
        <w:t xml:space="preserve"> </w:t>
      </w:r>
      <w:r w:rsidR="00205FA3">
        <w:rPr>
          <w:b/>
          <w:i/>
        </w:rPr>
        <w:t xml:space="preserve">It seems that </w:t>
      </w:r>
      <w:r w:rsidR="00205FA3">
        <w:rPr>
          <w:rFonts w:hint="eastAsia"/>
          <w:b/>
          <w:i/>
        </w:rPr>
        <w:t>one</w:t>
      </w:r>
      <w:r w:rsidR="00205FA3">
        <w:rPr>
          <w:b/>
          <w:i/>
        </w:rPr>
        <w:t xml:space="preserve"> specified solution, which is </w:t>
      </w:r>
      <w:r w:rsidR="00205FA3" w:rsidRPr="00E55D22">
        <w:rPr>
          <w:b/>
          <w:i/>
        </w:rPr>
        <w:t>SRS carrier switching with type 3 PHR reporting</w:t>
      </w:r>
      <w:r w:rsidR="00205FA3">
        <w:rPr>
          <w:b/>
          <w:i/>
        </w:rPr>
        <w:t>,</w:t>
      </w:r>
      <w:r w:rsidR="00205FA3" w:rsidRPr="00E55D22">
        <w:rPr>
          <w:b/>
          <w:i/>
        </w:rPr>
        <w:t xml:space="preserve"> can meet the measurement</w:t>
      </w:r>
      <w:r w:rsidR="00205FA3">
        <w:rPr>
          <w:b/>
          <w:i/>
        </w:rPr>
        <w:t xml:space="preserve"> and reporting</w:t>
      </w:r>
      <w:r w:rsidR="00205FA3" w:rsidRPr="00E55D22">
        <w:rPr>
          <w:b/>
          <w:i/>
        </w:rPr>
        <w:t xml:space="preserve"> demand</w:t>
      </w:r>
      <w:r w:rsidRPr="00E55D22">
        <w:rPr>
          <w:b/>
          <w:i/>
        </w:rPr>
        <w:t>.</w:t>
      </w:r>
    </w:p>
    <w:p w14:paraId="000E4946" w14:textId="4A422348" w:rsidR="00E55D22" w:rsidRPr="00E55D22" w:rsidRDefault="00E55D22" w:rsidP="00E55D22">
      <w:pPr>
        <w:jc w:val="both"/>
      </w:pPr>
      <w:r>
        <w:rPr>
          <w:b/>
          <w:i/>
        </w:rPr>
        <w:t>Observation 2</w:t>
      </w:r>
      <w:r w:rsidRPr="00CA4E60">
        <w:rPr>
          <w:b/>
          <w:i/>
        </w:rPr>
        <w:t>:</w:t>
      </w:r>
      <w:r>
        <w:rPr>
          <w:b/>
          <w:i/>
        </w:rPr>
        <w:t xml:space="preserve"> </w:t>
      </w:r>
      <w:r w:rsidRPr="00E55D22">
        <w:rPr>
          <w:b/>
          <w:i/>
        </w:rPr>
        <w:t>It is not clear how the advertised gain would be leveraged considering that it is still gNB decision on whether to configure UL CC to another band or not and the time consumption of the RRC reconfiguration procedure comparing to the time-variant of RF exposure.</w:t>
      </w:r>
      <w:r>
        <w:t xml:space="preserve">  </w:t>
      </w:r>
      <w:r w:rsidRPr="006E379A">
        <w:t xml:space="preserve">      </w:t>
      </w:r>
    </w:p>
    <w:p w14:paraId="29EAF716" w14:textId="3C45FE03" w:rsidR="00CF588A" w:rsidRDefault="00CF588A" w:rsidP="00CF588A">
      <w:pPr>
        <w:pStyle w:val="af2"/>
        <w:jc w:val="both"/>
        <w:rPr>
          <w:b/>
          <w:i/>
        </w:rPr>
      </w:pPr>
      <w:r w:rsidRPr="00CA4E60">
        <w:rPr>
          <w:rFonts w:hint="eastAsia"/>
          <w:b/>
          <w:i/>
        </w:rPr>
        <w:t>O</w:t>
      </w:r>
      <w:r w:rsidR="00E55D22">
        <w:rPr>
          <w:b/>
          <w:i/>
        </w:rPr>
        <w:t>bservation 3</w:t>
      </w:r>
      <w:r w:rsidRPr="00CA4E60">
        <w:rPr>
          <w:b/>
          <w:i/>
        </w:rPr>
        <w:t>:</w:t>
      </w:r>
      <w:r>
        <w:rPr>
          <w:b/>
          <w:i/>
        </w:rPr>
        <w:t xml:space="preserve"> When power class fall-back happens for a HPUE, the network cannot deduce the exact power class, of which such HPUE shall apply the corresponding requirements, by PHR report.</w:t>
      </w:r>
    </w:p>
    <w:p w14:paraId="7C098EF8" w14:textId="67913F9C" w:rsidR="00CF588A" w:rsidRDefault="00CF588A" w:rsidP="00CF588A">
      <w:pPr>
        <w:pStyle w:val="af2"/>
        <w:jc w:val="both"/>
        <w:rPr>
          <w:b/>
          <w:i/>
        </w:rPr>
      </w:pPr>
      <w:r w:rsidRPr="00CA4E60">
        <w:rPr>
          <w:rFonts w:hint="eastAsia"/>
          <w:b/>
          <w:i/>
        </w:rPr>
        <w:t>O</w:t>
      </w:r>
      <w:r w:rsidRPr="00CA4E60">
        <w:rPr>
          <w:b/>
          <w:i/>
        </w:rPr>
        <w:t xml:space="preserve">bservation </w:t>
      </w:r>
      <w:r w:rsidR="00E55D22">
        <w:rPr>
          <w:b/>
          <w:i/>
        </w:rPr>
        <w:t>4</w:t>
      </w:r>
      <w:r w:rsidRPr="00CA4E60">
        <w:rPr>
          <w:b/>
          <w:i/>
        </w:rPr>
        <w:t>:</w:t>
      </w:r>
      <w:r>
        <w:rPr>
          <w:b/>
          <w:i/>
        </w:rPr>
        <w:t xml:space="preserve"> The full power transmission capability of HPUE can be different from that under advertised power class when power class fall-back happens.</w:t>
      </w:r>
    </w:p>
    <w:p w14:paraId="0CDFB59C" w14:textId="126EE310" w:rsidR="008A2E0A" w:rsidRDefault="00CF588A" w:rsidP="008A2E0A">
      <w:pPr>
        <w:pStyle w:val="af2"/>
        <w:jc w:val="both"/>
        <w:rPr>
          <w:b/>
          <w:i/>
        </w:rPr>
      </w:pPr>
      <w:r w:rsidRPr="00CA4E60">
        <w:rPr>
          <w:rFonts w:hint="eastAsia"/>
          <w:b/>
          <w:i/>
        </w:rPr>
        <w:t>O</w:t>
      </w:r>
      <w:r w:rsidRPr="00CA4E60">
        <w:rPr>
          <w:b/>
          <w:i/>
        </w:rPr>
        <w:t xml:space="preserve">bservation </w:t>
      </w:r>
      <w:r w:rsidR="00E55D22">
        <w:rPr>
          <w:b/>
          <w:i/>
        </w:rPr>
        <w:t>5</w:t>
      </w:r>
      <w:r w:rsidRPr="00CA4E60">
        <w:rPr>
          <w:b/>
          <w:i/>
        </w:rPr>
        <w:t>:</w:t>
      </w:r>
      <w:r>
        <w:rPr>
          <w:b/>
          <w:i/>
        </w:rPr>
        <w:t xml:space="preserve"> The low-MSD capability of HPUE can be different and may not be linearly decreasing when </w:t>
      </w:r>
      <w:r w:rsidR="008A2E0A">
        <w:rPr>
          <w:b/>
          <w:i/>
        </w:rPr>
        <w:t>power class fall-back happens.</w:t>
      </w:r>
    </w:p>
    <w:p w14:paraId="0481815C" w14:textId="77777777" w:rsidR="00B76B89" w:rsidRDefault="00B76B89" w:rsidP="00B76B89">
      <w:pPr>
        <w:pStyle w:val="af2"/>
        <w:jc w:val="both"/>
        <w:rPr>
          <w:b/>
          <w:i/>
        </w:rPr>
      </w:pPr>
      <w:r>
        <w:rPr>
          <w:b/>
          <w:i/>
        </w:rPr>
        <w:t xml:space="preserve">Proposal </w:t>
      </w:r>
      <w:r w:rsidRPr="00CA4E60">
        <w:rPr>
          <w:b/>
          <w:i/>
        </w:rPr>
        <w:t>1:</w:t>
      </w:r>
      <w:r>
        <w:rPr>
          <w:b/>
          <w:i/>
        </w:rPr>
        <w:t xml:space="preserve"> Regarding “PHR reporting for DL CC”, at least the following aspects should be clarified:</w:t>
      </w:r>
    </w:p>
    <w:p w14:paraId="774C5D7E" w14:textId="77777777" w:rsidR="00B76B89" w:rsidRDefault="00B76B89" w:rsidP="00B76B89">
      <w:pPr>
        <w:pStyle w:val="af2"/>
        <w:numPr>
          <w:ilvl w:val="0"/>
          <w:numId w:val="45"/>
        </w:numPr>
        <w:jc w:val="both"/>
        <w:rPr>
          <w:b/>
          <w:i/>
        </w:rPr>
      </w:pPr>
      <w:r>
        <w:rPr>
          <w:b/>
          <w:i/>
        </w:rPr>
        <w:t xml:space="preserve">Whether </w:t>
      </w:r>
      <w:r w:rsidRPr="00E55D22">
        <w:rPr>
          <w:b/>
          <w:i/>
        </w:rPr>
        <w:t>SRS carrier switching with type 3 PHR reporting</w:t>
      </w:r>
      <w:r>
        <w:rPr>
          <w:b/>
          <w:i/>
        </w:rPr>
        <w:t xml:space="preserve"> </w:t>
      </w:r>
      <w:r w:rsidRPr="00E55D22">
        <w:rPr>
          <w:b/>
          <w:i/>
        </w:rPr>
        <w:t xml:space="preserve">can meet the </w:t>
      </w:r>
      <w:r>
        <w:rPr>
          <w:b/>
          <w:i/>
        </w:rPr>
        <w:t xml:space="preserve">same </w:t>
      </w:r>
      <w:r w:rsidRPr="00E55D22">
        <w:rPr>
          <w:b/>
          <w:i/>
        </w:rPr>
        <w:t>measurement</w:t>
      </w:r>
      <w:r>
        <w:rPr>
          <w:b/>
          <w:i/>
        </w:rPr>
        <w:t xml:space="preserve"> and reporting</w:t>
      </w:r>
      <w:r w:rsidRPr="00E55D22">
        <w:rPr>
          <w:b/>
          <w:i/>
        </w:rPr>
        <w:t xml:space="preserve"> demand</w:t>
      </w:r>
      <w:r>
        <w:rPr>
          <w:b/>
          <w:i/>
        </w:rPr>
        <w:t>.</w:t>
      </w:r>
    </w:p>
    <w:p w14:paraId="72AA2605" w14:textId="6CE12919" w:rsidR="00B76B89" w:rsidRPr="00B76B89" w:rsidRDefault="00B76B89" w:rsidP="00B76B89">
      <w:pPr>
        <w:pStyle w:val="af2"/>
        <w:numPr>
          <w:ilvl w:val="0"/>
          <w:numId w:val="45"/>
        </w:numPr>
        <w:jc w:val="both"/>
        <w:rPr>
          <w:b/>
          <w:i/>
        </w:rPr>
      </w:pPr>
      <w:r>
        <w:rPr>
          <w:b/>
          <w:i/>
        </w:rPr>
        <w:lastRenderedPageBreak/>
        <w:t>T</w:t>
      </w:r>
      <w:r w:rsidRPr="0094240E">
        <w:rPr>
          <w:b/>
          <w:i/>
        </w:rPr>
        <w:t>he target scenario under specific UE architecture e.g., example band combination of intra/inter-band CA wi</w:t>
      </w:r>
      <w:r>
        <w:rPr>
          <w:b/>
          <w:i/>
        </w:rPr>
        <w:t>th specific antenna arrangement</w:t>
      </w:r>
      <w:r w:rsidRPr="0094240E">
        <w:rPr>
          <w:b/>
          <w:i/>
        </w:rPr>
        <w:t xml:space="preserve"> should be provided</w:t>
      </w:r>
      <w:r>
        <w:rPr>
          <w:b/>
          <w:i/>
        </w:rPr>
        <w:t xml:space="preserve"> along with the details of such UE reporting to prove the potential gain s</w:t>
      </w:r>
      <w:r w:rsidRPr="0094240E">
        <w:rPr>
          <w:b/>
          <w:i/>
        </w:rPr>
        <w:t>ince it has been claimed that such demand is rooted from various RF exposure capability of</w:t>
      </w:r>
      <w:r>
        <w:rPr>
          <w:b/>
          <w:i/>
        </w:rPr>
        <w:t xml:space="preserve"> antenna.</w:t>
      </w:r>
    </w:p>
    <w:p w14:paraId="22A25683" w14:textId="77777777" w:rsidR="008A2E0A" w:rsidRDefault="008A2E0A" w:rsidP="008A2E0A">
      <w:pPr>
        <w:jc w:val="both"/>
        <w:rPr>
          <w:b/>
          <w:i/>
        </w:rPr>
      </w:pPr>
      <w:r>
        <w:rPr>
          <w:b/>
          <w:i/>
        </w:rPr>
        <w:t xml:space="preserve">Proposal 2: For FR1 PHR enhancement, allow the UE to report </w:t>
      </w:r>
      <w:r w:rsidRPr="00542C4D">
        <w:rPr>
          <w:b/>
          <w:i/>
        </w:rPr>
        <w:t>ΔP</w:t>
      </w:r>
      <w:r w:rsidRPr="00542C4D">
        <w:rPr>
          <w:b/>
          <w:i/>
          <w:vertAlign w:val="subscript"/>
        </w:rPr>
        <w:t>PowerClass</w:t>
      </w:r>
      <w:r>
        <w:rPr>
          <w:b/>
          <w:i/>
        </w:rPr>
        <w:t xml:space="preserve">, in order to align the </w:t>
      </w:r>
      <w:r w:rsidRPr="00542C4D">
        <w:rPr>
          <w:b/>
          <w:i/>
        </w:rPr>
        <w:t>understanding of power class fall-back timing between gNB and UE</w:t>
      </w:r>
      <w:r>
        <w:rPr>
          <w:b/>
          <w:i/>
        </w:rPr>
        <w:t xml:space="preserve">, and the full power transmission capability for the current fall-back power class to guarantee more reasonable UL scheduling. </w:t>
      </w:r>
    </w:p>
    <w:p w14:paraId="799EAAFB" w14:textId="77777777" w:rsidR="008A2E0A" w:rsidRDefault="008A2E0A" w:rsidP="008A2E0A">
      <w:pPr>
        <w:jc w:val="both"/>
      </w:pPr>
      <w:r>
        <w:rPr>
          <w:b/>
          <w:i/>
        </w:rPr>
        <w:t>Proposal 3: Do not consider P-MPR report for FR1 carrier.</w:t>
      </w:r>
    </w:p>
    <w:p w14:paraId="5E491A9B" w14:textId="77777777" w:rsidR="007C6C15" w:rsidRDefault="007C6C15" w:rsidP="007C6C15">
      <w:pPr>
        <w:jc w:val="both"/>
        <w:rPr>
          <w:b/>
          <w:i/>
        </w:rPr>
      </w:pPr>
      <w:r>
        <w:rPr>
          <w:b/>
          <w:i/>
        </w:rPr>
        <w:t xml:space="preserve">Proposal 4: Do not consider ‘duration’ information reporting. </w:t>
      </w:r>
    </w:p>
    <w:p w14:paraId="7855C126" w14:textId="77777777" w:rsidR="008A2E0A" w:rsidRPr="00AD2FC9" w:rsidRDefault="008A2E0A" w:rsidP="008A2E0A">
      <w:pPr>
        <w:pStyle w:val="af2"/>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3E1E2734" w14:textId="708F9240" w:rsidR="00B84821" w:rsidRPr="00F76C77" w:rsidRDefault="00683723" w:rsidP="00324276">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00212750">
        <w:t>-</w:t>
      </w:r>
      <w:r w:rsidR="00F76C77">
        <w:t>230</w:t>
      </w:r>
      <w:r w:rsidR="00522E18">
        <w:t>6625</w:t>
      </w:r>
      <w:r w:rsidR="00212750">
        <w:t>, “</w:t>
      </w:r>
      <w:r w:rsidR="00522E18" w:rsidRPr="00522E18">
        <w:t>WF on NR further coverage enhancement part 1</w:t>
      </w:r>
      <w:r w:rsidR="00212750">
        <w:t xml:space="preserve">”, </w:t>
      </w:r>
      <w:r w:rsidR="005474DE">
        <w:t>Huawei, HiSilicon</w:t>
      </w:r>
      <w:r w:rsidR="00BB4057">
        <w:t>,</w:t>
      </w:r>
      <w:r w:rsidR="00212750">
        <w:t xml:space="preserve"> </w:t>
      </w:r>
      <w:r w:rsidR="00212750" w:rsidRPr="000B78E6">
        <w:t>3GPP TSG-RAN</w:t>
      </w:r>
      <w:r w:rsidR="005474DE">
        <w:t>4</w:t>
      </w:r>
      <w:r w:rsidR="00212750" w:rsidRPr="000B78E6">
        <w:t xml:space="preserve"> Meeting #</w:t>
      </w:r>
      <w:r w:rsidR="00F76C77">
        <w:t>106</w:t>
      </w:r>
      <w:r w:rsidR="00522E18">
        <w:t>bis-e</w:t>
      </w:r>
      <w:r w:rsidR="00212750">
        <w:t xml:space="preserve">, </w:t>
      </w:r>
      <w:r w:rsidR="00522E18">
        <w:t>Electronic Meeting</w:t>
      </w:r>
      <w:r w:rsidR="00BE223D">
        <w:rPr>
          <w:lang w:val="it-IT"/>
        </w:rPr>
        <w:t>,</w:t>
      </w:r>
      <w:r w:rsidR="00212750">
        <w:t xml:space="preserve"> </w:t>
      </w:r>
      <w:r w:rsidR="00522E18">
        <w:t>April</w:t>
      </w:r>
      <w:r w:rsidR="008F51D3">
        <w:t xml:space="preserve"> </w:t>
      </w:r>
      <w:r w:rsidR="00522E18">
        <w:t>1</w:t>
      </w:r>
      <w:r w:rsidR="00F76C77">
        <w:t>7</w:t>
      </w:r>
      <w:r w:rsidR="008F51D3">
        <w:t xml:space="preserve"> – </w:t>
      </w:r>
      <w:r w:rsidR="00522E18">
        <w:t>26</w:t>
      </w:r>
      <w:r w:rsidR="008F51D3">
        <w:t>,</w:t>
      </w:r>
      <w:r w:rsidR="00F76C77">
        <w:t xml:space="preserve"> 2023</w:t>
      </w:r>
      <w:r w:rsidR="00BB41AF">
        <w:t>.</w:t>
      </w:r>
    </w:p>
    <w:p w14:paraId="04046FA2" w14:textId="4DDACFAE" w:rsidR="00085BC9" w:rsidRDefault="0065216F" w:rsidP="00D5798C">
      <w:pPr>
        <w:numPr>
          <w:ilvl w:val="0"/>
          <w:numId w:val="10"/>
        </w:numPr>
        <w:tabs>
          <w:tab w:val="clear" w:pos="720"/>
          <w:tab w:val="num" w:pos="426"/>
        </w:tabs>
        <w:overflowPunct/>
        <w:autoSpaceDE/>
        <w:autoSpaceDN/>
        <w:adjustRightInd/>
        <w:ind w:left="426" w:hanging="426"/>
        <w:jc w:val="both"/>
        <w:textAlignment w:val="auto"/>
        <w:rPr>
          <w:lang w:val="it-IT" w:eastAsia="ja-JP"/>
        </w:rPr>
      </w:pPr>
      <w:r>
        <w:t>R4-2300711, “</w:t>
      </w:r>
      <w:r w:rsidRPr="0065216F">
        <w:rPr>
          <w:lang w:val="en-US"/>
        </w:rPr>
        <w:t>On UE signaling to enhance ULCA and DC</w:t>
      </w:r>
      <w:r>
        <w:t xml:space="preserve">”, </w:t>
      </w:r>
      <w:r w:rsidRPr="0065216F">
        <w:rPr>
          <w:lang w:val="en-US"/>
        </w:rPr>
        <w:t>Qualcomm Incorporated, 3GPP</w:t>
      </w:r>
      <w:r w:rsidRPr="000B78E6">
        <w:t xml:space="preserve"> TSG-RAN</w:t>
      </w:r>
      <w:r>
        <w:t>4</w:t>
      </w:r>
      <w:r w:rsidRPr="000B78E6">
        <w:t xml:space="preserve"> Meeting #</w:t>
      </w:r>
      <w:r>
        <w:t>106, Athens, Greece</w:t>
      </w:r>
      <w:r>
        <w:rPr>
          <w:lang w:val="it-IT"/>
        </w:rPr>
        <w:t>,</w:t>
      </w:r>
      <w:r>
        <w:t xml:space="preserve"> February 27 – March 3, 2023.</w:t>
      </w:r>
    </w:p>
    <w:p w14:paraId="1A5663F3" w14:textId="407EF96C" w:rsidR="00085BC9" w:rsidRPr="005F74C8" w:rsidRDefault="00EF7C26" w:rsidP="00D5798C">
      <w:pPr>
        <w:numPr>
          <w:ilvl w:val="0"/>
          <w:numId w:val="10"/>
        </w:numPr>
        <w:tabs>
          <w:tab w:val="clear" w:pos="720"/>
          <w:tab w:val="num" w:pos="426"/>
        </w:tabs>
        <w:overflowPunct/>
        <w:autoSpaceDE/>
        <w:autoSpaceDN/>
        <w:adjustRightInd/>
        <w:ind w:left="426" w:hanging="426"/>
        <w:jc w:val="both"/>
        <w:textAlignment w:val="auto"/>
        <w:rPr>
          <w:lang w:val="it-IT" w:eastAsia="ja-JP"/>
        </w:rPr>
      </w:pPr>
      <w:r>
        <w:t>R4-2304605, “</w:t>
      </w:r>
      <w:r w:rsidRPr="00EF7C26">
        <w:rPr>
          <w:lang w:val="en-US"/>
        </w:rPr>
        <w:t>Draft LS on UE signaling to enhance UL reliability</w:t>
      </w:r>
      <w:r>
        <w:t xml:space="preserve">”, </w:t>
      </w:r>
      <w:r w:rsidRPr="0065216F">
        <w:rPr>
          <w:lang w:val="en-US"/>
        </w:rPr>
        <w:t>Qualcomm Incorporated, 3GPP</w:t>
      </w:r>
      <w:r w:rsidRPr="000B78E6">
        <w:t xml:space="preserve"> TSG-RAN</w:t>
      </w:r>
      <w:r>
        <w:t>4</w:t>
      </w:r>
      <w:r w:rsidRPr="000B78E6">
        <w:t xml:space="preserve"> Meeting #</w:t>
      </w:r>
      <w:r>
        <w:t>106bis-e, Electronic Meeting</w:t>
      </w:r>
      <w:r>
        <w:rPr>
          <w:lang w:val="it-IT"/>
        </w:rPr>
        <w:t>,</w:t>
      </w:r>
      <w:r>
        <w:t xml:space="preserve"> April 17 – 26, 2023.</w:t>
      </w:r>
    </w:p>
    <w:p w14:paraId="042E19D8" w14:textId="77777777" w:rsidR="005F74C8" w:rsidRDefault="005F74C8" w:rsidP="005F74C8">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w:t>
      </w:r>
      <w:r>
        <w:t>2300753</w:t>
      </w:r>
      <w:r>
        <w:rPr>
          <w:lang w:val="it-IT" w:eastAsia="ja-JP"/>
        </w:rPr>
        <w:t xml:space="preserve">, </w:t>
      </w:r>
      <w:r w:rsidRPr="00D06516">
        <w:rPr>
          <w:bCs/>
          <w:lang w:val="en-US" w:eastAsia="ja-JP"/>
        </w:rPr>
        <w:t>Power-class fallback reporting in the PHR for improved scheduling and enhanced performance with and without the high-power limit</w:t>
      </w:r>
      <w:r>
        <w:rPr>
          <w:bCs/>
          <w:lang w:val="en-US" w:eastAsia="ja-JP"/>
        </w:rPr>
        <w:t>,</w:t>
      </w:r>
      <w:r w:rsidRPr="00D06516">
        <w:rPr>
          <w:lang w:val="it-IT" w:eastAsia="ja-JP"/>
        </w:rPr>
        <w:t xml:space="preserve"> </w:t>
      </w:r>
      <w:r>
        <w:rPr>
          <w:lang w:val="it-IT" w:eastAsia="ja-JP"/>
        </w:rPr>
        <w:t>Ericsson,</w:t>
      </w:r>
      <w:r w:rsidRPr="00D06516">
        <w:t xml:space="preserve"> </w:t>
      </w:r>
      <w:r w:rsidRPr="000B78E6">
        <w:t>3GPP TSG-RAN</w:t>
      </w:r>
      <w:r>
        <w:t>4</w:t>
      </w:r>
      <w:r w:rsidRPr="000B78E6">
        <w:t xml:space="preserve"> Meeting #</w:t>
      </w:r>
      <w:r>
        <w:t>106, Athens</w:t>
      </w:r>
      <w:r>
        <w:rPr>
          <w:lang w:val="it-IT"/>
        </w:rPr>
        <w:t>, Greece,</w:t>
      </w:r>
      <w:r>
        <w:t xml:space="preserve"> February 27 – March 3, 2023.</w:t>
      </w:r>
      <w:r>
        <w:rPr>
          <w:lang w:val="it-IT" w:eastAsia="ja-JP"/>
        </w:rPr>
        <w:t xml:space="preserve"> </w:t>
      </w:r>
    </w:p>
    <w:p w14:paraId="71CDCDDA" w14:textId="21051760" w:rsidR="005F74C8" w:rsidRPr="00D5798C" w:rsidRDefault="005F74C8" w:rsidP="005F74C8">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 xml:space="preserve">R4-2303695, </w:t>
      </w:r>
      <w:r>
        <w:t>“</w:t>
      </w:r>
      <w:r w:rsidRPr="00F76C77">
        <w:t xml:space="preserve">WF on </w:t>
      </w:r>
      <w:r>
        <w:t xml:space="preserve">study for lower MSD”, Huawei, HiSilicon, </w:t>
      </w:r>
      <w:r w:rsidRPr="000B78E6">
        <w:t>3GPP TSG-RAN</w:t>
      </w:r>
      <w:r>
        <w:t>4</w:t>
      </w:r>
      <w:r w:rsidRPr="000B78E6">
        <w:t xml:space="preserve"> Meeting #</w:t>
      </w:r>
      <w:r>
        <w:t>106, Athens</w:t>
      </w:r>
      <w:r>
        <w:rPr>
          <w:lang w:val="it-IT"/>
        </w:rPr>
        <w:t>, Greece,</w:t>
      </w:r>
      <w:r>
        <w:t xml:space="preserve"> February 27 – March 3, 2023.</w:t>
      </w:r>
    </w:p>
    <w:sectPr w:rsidR="005F74C8" w:rsidRPr="00D5798C"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7F0C6" w14:textId="77777777" w:rsidR="00030378" w:rsidRDefault="00030378" w:rsidP="0052762B">
      <w:r>
        <w:separator/>
      </w:r>
    </w:p>
  </w:endnote>
  <w:endnote w:type="continuationSeparator" w:id="0">
    <w:p w14:paraId="6DEFC129" w14:textId="77777777" w:rsidR="00030378" w:rsidRDefault="0003037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DC908" w14:textId="77777777" w:rsidR="00030378" w:rsidRDefault="00030378" w:rsidP="0052762B">
      <w:r>
        <w:separator/>
      </w:r>
    </w:p>
  </w:footnote>
  <w:footnote w:type="continuationSeparator" w:id="0">
    <w:p w14:paraId="231FC56F" w14:textId="77777777" w:rsidR="00030378" w:rsidRDefault="0003037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2146F"/>
    <w:multiLevelType w:val="hybridMultilevel"/>
    <w:tmpl w:val="75222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5" w15:restartNumberingAfterBreak="0">
    <w:nsid w:val="0DDF6469"/>
    <w:multiLevelType w:val="hybridMultilevel"/>
    <w:tmpl w:val="92F0A858"/>
    <w:lvl w:ilvl="0" w:tplc="41502510">
      <w:start w:val="1"/>
      <w:numFmt w:val="bullet"/>
      <w:lvlText w:val=""/>
      <w:lvlJc w:val="left"/>
      <w:pPr>
        <w:ind w:left="420" w:hanging="420"/>
      </w:pPr>
      <w:rPr>
        <w:rFonts w:ascii="Wingdings" w:hAnsi="Wingdings" w:hint="default"/>
      </w:rPr>
    </w:lvl>
    <w:lvl w:ilvl="1" w:tplc="4150251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8F24E7"/>
    <w:multiLevelType w:val="multilevel"/>
    <w:tmpl w:val="3078CAB0"/>
    <w:lvl w:ilvl="0">
      <w:numFmt w:val="bullet"/>
      <w:lvlText w:val="-"/>
      <w:lvlJc w:val="left"/>
      <w:pPr>
        <w:ind w:left="440" w:hanging="420"/>
      </w:pPr>
      <w:rPr>
        <w:rFonts w:ascii="Times New Roman" w:eastAsia="Times New Roman" w:hAnsi="Times New Roman" w:cs="Times New Roman" w:hint="default"/>
      </w:rPr>
    </w:lvl>
    <w:lvl w:ilvl="1">
      <w:start w:val="1"/>
      <w:numFmt w:val="bullet"/>
      <w:lvlText w:val="o"/>
      <w:lvlJc w:val="left"/>
      <w:pPr>
        <w:ind w:left="860" w:hanging="420"/>
      </w:pPr>
      <w:rPr>
        <w:rFonts w:ascii="Courier New" w:hAnsi="Courier New" w:cs="Courier New"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7" w15:restartNumberingAfterBreak="0">
    <w:nsid w:val="0EFF08F5"/>
    <w:multiLevelType w:val="hybridMultilevel"/>
    <w:tmpl w:val="C8C605CE"/>
    <w:lvl w:ilvl="0" w:tplc="F1166F5E">
      <w:start w:val="1"/>
      <w:numFmt w:val="decimal"/>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6240D9"/>
    <w:multiLevelType w:val="hybridMultilevel"/>
    <w:tmpl w:val="20A4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68457D"/>
    <w:multiLevelType w:val="hybridMultilevel"/>
    <w:tmpl w:val="350673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98316B"/>
    <w:multiLevelType w:val="hybridMultilevel"/>
    <w:tmpl w:val="285EE9B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F">
      <w:start w:val="1"/>
      <w:numFmt w:val="decimal"/>
      <w:lvlText w:val="%3."/>
      <w:lvlJc w:val="left"/>
      <w:pPr>
        <w:ind w:left="1260" w:hanging="420"/>
      </w:pPr>
      <w:rPr>
        <w:rFont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BB64CBB"/>
    <w:multiLevelType w:val="hybridMultilevel"/>
    <w:tmpl w:val="A344D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1DD5ACC"/>
    <w:multiLevelType w:val="hybridMultilevel"/>
    <w:tmpl w:val="ECF40360"/>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8601382"/>
    <w:multiLevelType w:val="hybridMultilevel"/>
    <w:tmpl w:val="BF20AF2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B60396"/>
    <w:multiLevelType w:val="hybridMultilevel"/>
    <w:tmpl w:val="81C6E7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1D15A48"/>
    <w:multiLevelType w:val="hybridMultilevel"/>
    <w:tmpl w:val="97A2B3A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D37A3D"/>
    <w:multiLevelType w:val="multilevel"/>
    <w:tmpl w:val="67742EFE"/>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961D23"/>
    <w:multiLevelType w:val="hybridMultilevel"/>
    <w:tmpl w:val="0A2EFDCC"/>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1B5CC3"/>
    <w:multiLevelType w:val="hybridMultilevel"/>
    <w:tmpl w:val="3A147B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3C3252"/>
    <w:multiLevelType w:val="multilevel"/>
    <w:tmpl w:val="553C3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3E5061"/>
    <w:multiLevelType w:val="hybridMultilevel"/>
    <w:tmpl w:val="BF443C9A"/>
    <w:lvl w:ilvl="0" w:tplc="B3C4F0CE">
      <w:start w:val="1"/>
      <w:numFmt w:val="decimal"/>
      <w:lvlText w:val="%1."/>
      <w:lvlJc w:val="left"/>
      <w:pPr>
        <w:ind w:left="92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92A61DE"/>
    <w:multiLevelType w:val="hybridMultilevel"/>
    <w:tmpl w:val="9C7CC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9DB694C"/>
    <w:multiLevelType w:val="hybridMultilevel"/>
    <w:tmpl w:val="927AECE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ECC0BD0"/>
    <w:multiLevelType w:val="hybridMultilevel"/>
    <w:tmpl w:val="4F88A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F330F2"/>
    <w:multiLevelType w:val="multilevel"/>
    <w:tmpl w:val="67F330F2"/>
    <w:lvl w:ilvl="0">
      <w:start w:val="2022"/>
      <w:numFmt w:val="bullet"/>
      <w:lvlText w:val="-"/>
      <w:lvlJc w:val="left"/>
      <w:rPr>
        <w:rFonts w:ascii="Arial" w:eastAsia="Yu Mincho" w:hAnsi="Arial" w:cs="Arial"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41" w15:restartNumberingAfterBreak="0">
    <w:nsid w:val="6B002B58"/>
    <w:multiLevelType w:val="hybridMultilevel"/>
    <w:tmpl w:val="C29C88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9C48E5"/>
    <w:multiLevelType w:val="hybridMultilevel"/>
    <w:tmpl w:val="6D4A4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6660A18"/>
    <w:multiLevelType w:val="multilevel"/>
    <w:tmpl w:val="76660A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9" w15:restartNumberingAfterBreak="0">
    <w:nsid w:val="7FD305F9"/>
    <w:multiLevelType w:val="hybridMultilevel"/>
    <w:tmpl w:val="9F74B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22"/>
  </w:num>
  <w:num w:numId="3">
    <w:abstractNumId w:val="27"/>
  </w:num>
  <w:num w:numId="4">
    <w:abstractNumId w:val="43"/>
  </w:num>
  <w:num w:numId="5">
    <w:abstractNumId w:val="42"/>
  </w:num>
  <w:num w:numId="6">
    <w:abstractNumId w:val="20"/>
  </w:num>
  <w:num w:numId="7">
    <w:abstractNumId w:val="32"/>
  </w:num>
  <w:num w:numId="8">
    <w:abstractNumId w:val="48"/>
  </w:num>
  <w:num w:numId="9">
    <w:abstractNumId w:val="17"/>
  </w:num>
  <w:num w:numId="10">
    <w:abstractNumId w:val="46"/>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3"/>
  </w:num>
  <w:num w:numId="14">
    <w:abstractNumId w:val="34"/>
  </w:num>
  <w:num w:numId="15">
    <w:abstractNumId w:val="2"/>
  </w:num>
  <w:num w:numId="16">
    <w:abstractNumId w:val="25"/>
  </w:num>
  <w:num w:numId="17">
    <w:abstractNumId w:val="18"/>
  </w:num>
  <w:num w:numId="18">
    <w:abstractNumId w:val="3"/>
  </w:num>
  <w:num w:numId="19">
    <w:abstractNumId w:val="1"/>
  </w:num>
  <w:num w:numId="20">
    <w:abstractNumId w:val="13"/>
  </w:num>
  <w:num w:numId="21">
    <w:abstractNumId w:val="45"/>
  </w:num>
  <w:num w:numId="22">
    <w:abstractNumId w:val="40"/>
  </w:num>
  <w:num w:numId="23">
    <w:abstractNumId w:val="12"/>
  </w:num>
  <w:num w:numId="24">
    <w:abstractNumId w:val="26"/>
  </w:num>
  <w:num w:numId="25">
    <w:abstractNumId w:val="39"/>
  </w:num>
  <w:num w:numId="26">
    <w:abstractNumId w:val="6"/>
  </w:num>
  <w:num w:numId="27">
    <w:abstractNumId w:val="4"/>
  </w:num>
  <w:num w:numId="28">
    <w:abstractNumId w:val="41"/>
  </w:num>
  <w:num w:numId="29">
    <w:abstractNumId w:val="38"/>
  </w:num>
  <w:num w:numId="30">
    <w:abstractNumId w:val="0"/>
  </w:num>
  <w:num w:numId="31">
    <w:abstractNumId w:val="19"/>
  </w:num>
  <w:num w:numId="32">
    <w:abstractNumId w:val="37"/>
  </w:num>
  <w:num w:numId="33">
    <w:abstractNumId w:val="33"/>
  </w:num>
  <w:num w:numId="34">
    <w:abstractNumId w:val="36"/>
  </w:num>
  <w:num w:numId="35">
    <w:abstractNumId w:val="47"/>
  </w:num>
  <w:num w:numId="36">
    <w:abstractNumId w:val="8"/>
  </w:num>
  <w:num w:numId="37">
    <w:abstractNumId w:val="29"/>
  </w:num>
  <w:num w:numId="38">
    <w:abstractNumId w:val="10"/>
  </w:num>
  <w:num w:numId="39">
    <w:abstractNumId w:val="49"/>
  </w:num>
  <w:num w:numId="40">
    <w:abstractNumId w:val="9"/>
  </w:num>
  <w:num w:numId="41">
    <w:abstractNumId w:val="16"/>
  </w:num>
  <w:num w:numId="42">
    <w:abstractNumId w:val="24"/>
  </w:num>
  <w:num w:numId="43">
    <w:abstractNumId w:val="5"/>
  </w:num>
  <w:num w:numId="44">
    <w:abstractNumId w:val="15"/>
  </w:num>
  <w:num w:numId="45">
    <w:abstractNumId w:val="44"/>
  </w:num>
  <w:num w:numId="46">
    <w:abstractNumId w:val="14"/>
  </w:num>
  <w:num w:numId="47">
    <w:abstractNumId w:val="28"/>
  </w:num>
  <w:num w:numId="48">
    <w:abstractNumId w:val="35"/>
  </w:num>
  <w:num w:numId="49">
    <w:abstractNumId w:val="21"/>
  </w:num>
  <w:num w:numId="5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E8D"/>
    <w:rsid w:val="00014FFF"/>
    <w:rsid w:val="000153B2"/>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0169"/>
    <w:rsid w:val="00030378"/>
    <w:rsid w:val="000307A8"/>
    <w:rsid w:val="00031165"/>
    <w:rsid w:val="00031383"/>
    <w:rsid w:val="00031CC0"/>
    <w:rsid w:val="0003226A"/>
    <w:rsid w:val="000323D5"/>
    <w:rsid w:val="00032561"/>
    <w:rsid w:val="000326E2"/>
    <w:rsid w:val="00032B28"/>
    <w:rsid w:val="00033F47"/>
    <w:rsid w:val="00034749"/>
    <w:rsid w:val="00034BF3"/>
    <w:rsid w:val="00034F28"/>
    <w:rsid w:val="0003564D"/>
    <w:rsid w:val="000365C5"/>
    <w:rsid w:val="000368DA"/>
    <w:rsid w:val="00037162"/>
    <w:rsid w:val="0003726B"/>
    <w:rsid w:val="000402AB"/>
    <w:rsid w:val="00040B71"/>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55A"/>
    <w:rsid w:val="0005366B"/>
    <w:rsid w:val="000537B3"/>
    <w:rsid w:val="00053B10"/>
    <w:rsid w:val="00054062"/>
    <w:rsid w:val="00054B1C"/>
    <w:rsid w:val="00055332"/>
    <w:rsid w:val="000557C9"/>
    <w:rsid w:val="00055AD9"/>
    <w:rsid w:val="00056CBD"/>
    <w:rsid w:val="00056EAE"/>
    <w:rsid w:val="00057673"/>
    <w:rsid w:val="00057835"/>
    <w:rsid w:val="0005790C"/>
    <w:rsid w:val="000601AF"/>
    <w:rsid w:val="00060D25"/>
    <w:rsid w:val="00060DC3"/>
    <w:rsid w:val="00060E84"/>
    <w:rsid w:val="000610FF"/>
    <w:rsid w:val="0006142F"/>
    <w:rsid w:val="00062143"/>
    <w:rsid w:val="000623F7"/>
    <w:rsid w:val="00062803"/>
    <w:rsid w:val="00062E8E"/>
    <w:rsid w:val="000633D5"/>
    <w:rsid w:val="00063B92"/>
    <w:rsid w:val="00063EED"/>
    <w:rsid w:val="0006423A"/>
    <w:rsid w:val="000643F6"/>
    <w:rsid w:val="00064D8A"/>
    <w:rsid w:val="00065851"/>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F33"/>
    <w:rsid w:val="00080995"/>
    <w:rsid w:val="00080C3A"/>
    <w:rsid w:val="000811DA"/>
    <w:rsid w:val="000813C2"/>
    <w:rsid w:val="0008183E"/>
    <w:rsid w:val="00081D13"/>
    <w:rsid w:val="00082230"/>
    <w:rsid w:val="0008266E"/>
    <w:rsid w:val="000826DC"/>
    <w:rsid w:val="0008285B"/>
    <w:rsid w:val="000834ED"/>
    <w:rsid w:val="00083E1D"/>
    <w:rsid w:val="0008505F"/>
    <w:rsid w:val="00085079"/>
    <w:rsid w:val="00085AC1"/>
    <w:rsid w:val="00085B28"/>
    <w:rsid w:val="00085BC9"/>
    <w:rsid w:val="00085C18"/>
    <w:rsid w:val="00085ECA"/>
    <w:rsid w:val="000860C0"/>
    <w:rsid w:val="0008727B"/>
    <w:rsid w:val="0008742B"/>
    <w:rsid w:val="00087D25"/>
    <w:rsid w:val="0009044A"/>
    <w:rsid w:val="00090604"/>
    <w:rsid w:val="000906DD"/>
    <w:rsid w:val="00090A3C"/>
    <w:rsid w:val="00090C45"/>
    <w:rsid w:val="00091392"/>
    <w:rsid w:val="00092023"/>
    <w:rsid w:val="000923CF"/>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5151"/>
    <w:rsid w:val="000A5594"/>
    <w:rsid w:val="000A55E3"/>
    <w:rsid w:val="000A5943"/>
    <w:rsid w:val="000A5ABE"/>
    <w:rsid w:val="000A6811"/>
    <w:rsid w:val="000A695D"/>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73D6"/>
    <w:rsid w:val="000B770A"/>
    <w:rsid w:val="000C00A2"/>
    <w:rsid w:val="000C0153"/>
    <w:rsid w:val="000C0293"/>
    <w:rsid w:val="000C0A4B"/>
    <w:rsid w:val="000C18F9"/>
    <w:rsid w:val="000C2877"/>
    <w:rsid w:val="000C28E8"/>
    <w:rsid w:val="000C2EF7"/>
    <w:rsid w:val="000C322C"/>
    <w:rsid w:val="000C3874"/>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C"/>
    <w:rsid w:val="000D02AA"/>
    <w:rsid w:val="000D0B01"/>
    <w:rsid w:val="000D1172"/>
    <w:rsid w:val="000D12D4"/>
    <w:rsid w:val="000D1A3C"/>
    <w:rsid w:val="000D1FEC"/>
    <w:rsid w:val="000D22DB"/>
    <w:rsid w:val="000D2359"/>
    <w:rsid w:val="000D2697"/>
    <w:rsid w:val="000D2A04"/>
    <w:rsid w:val="000D2BCF"/>
    <w:rsid w:val="000D355E"/>
    <w:rsid w:val="000D42E3"/>
    <w:rsid w:val="000D4391"/>
    <w:rsid w:val="000D4A00"/>
    <w:rsid w:val="000D5181"/>
    <w:rsid w:val="000D58BA"/>
    <w:rsid w:val="000D59BD"/>
    <w:rsid w:val="000D60F8"/>
    <w:rsid w:val="000D6118"/>
    <w:rsid w:val="000D651E"/>
    <w:rsid w:val="000D662B"/>
    <w:rsid w:val="000D765D"/>
    <w:rsid w:val="000D7E31"/>
    <w:rsid w:val="000E04A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87D"/>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71F"/>
    <w:rsid w:val="00103B63"/>
    <w:rsid w:val="00103C9E"/>
    <w:rsid w:val="00103ECD"/>
    <w:rsid w:val="00104585"/>
    <w:rsid w:val="00104A73"/>
    <w:rsid w:val="001051FC"/>
    <w:rsid w:val="0010552D"/>
    <w:rsid w:val="001059E2"/>
    <w:rsid w:val="00105D85"/>
    <w:rsid w:val="00105FAF"/>
    <w:rsid w:val="0010684E"/>
    <w:rsid w:val="001068E4"/>
    <w:rsid w:val="00106902"/>
    <w:rsid w:val="00106A89"/>
    <w:rsid w:val="00106AB8"/>
    <w:rsid w:val="001076AC"/>
    <w:rsid w:val="00107A6A"/>
    <w:rsid w:val="00111828"/>
    <w:rsid w:val="00112551"/>
    <w:rsid w:val="0011274D"/>
    <w:rsid w:val="0011282B"/>
    <w:rsid w:val="00112969"/>
    <w:rsid w:val="0011297B"/>
    <w:rsid w:val="00112D66"/>
    <w:rsid w:val="00112DDC"/>
    <w:rsid w:val="00114108"/>
    <w:rsid w:val="001145CD"/>
    <w:rsid w:val="00114764"/>
    <w:rsid w:val="00115AEF"/>
    <w:rsid w:val="00116080"/>
    <w:rsid w:val="00116445"/>
    <w:rsid w:val="00116DF7"/>
    <w:rsid w:val="00116EFE"/>
    <w:rsid w:val="001171C1"/>
    <w:rsid w:val="00117964"/>
    <w:rsid w:val="00120BBB"/>
    <w:rsid w:val="0012120A"/>
    <w:rsid w:val="00123086"/>
    <w:rsid w:val="001230AC"/>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241B"/>
    <w:rsid w:val="00173B5D"/>
    <w:rsid w:val="00174C11"/>
    <w:rsid w:val="00175090"/>
    <w:rsid w:val="00176AED"/>
    <w:rsid w:val="0017757F"/>
    <w:rsid w:val="001779C0"/>
    <w:rsid w:val="00177C30"/>
    <w:rsid w:val="001804BE"/>
    <w:rsid w:val="00180681"/>
    <w:rsid w:val="00181AD5"/>
    <w:rsid w:val="001822D6"/>
    <w:rsid w:val="001824D1"/>
    <w:rsid w:val="00182D6C"/>
    <w:rsid w:val="00182EDB"/>
    <w:rsid w:val="0018314E"/>
    <w:rsid w:val="001838A1"/>
    <w:rsid w:val="00184134"/>
    <w:rsid w:val="001841B0"/>
    <w:rsid w:val="00186574"/>
    <w:rsid w:val="0018686E"/>
    <w:rsid w:val="0018689E"/>
    <w:rsid w:val="00186918"/>
    <w:rsid w:val="00186BF2"/>
    <w:rsid w:val="00186DFE"/>
    <w:rsid w:val="00186FED"/>
    <w:rsid w:val="001874A3"/>
    <w:rsid w:val="001878F6"/>
    <w:rsid w:val="001879F5"/>
    <w:rsid w:val="00187B6A"/>
    <w:rsid w:val="00190A9C"/>
    <w:rsid w:val="00190C6F"/>
    <w:rsid w:val="00190C7D"/>
    <w:rsid w:val="001913A3"/>
    <w:rsid w:val="00191DA1"/>
    <w:rsid w:val="00192290"/>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0A55"/>
    <w:rsid w:val="001A183C"/>
    <w:rsid w:val="001A2071"/>
    <w:rsid w:val="001A25D9"/>
    <w:rsid w:val="001A290C"/>
    <w:rsid w:val="001A2EA7"/>
    <w:rsid w:val="001A3585"/>
    <w:rsid w:val="001A45F5"/>
    <w:rsid w:val="001A45FD"/>
    <w:rsid w:val="001A4830"/>
    <w:rsid w:val="001A52F1"/>
    <w:rsid w:val="001A54D6"/>
    <w:rsid w:val="001A5951"/>
    <w:rsid w:val="001A5C57"/>
    <w:rsid w:val="001A5FAC"/>
    <w:rsid w:val="001A652B"/>
    <w:rsid w:val="001A73C7"/>
    <w:rsid w:val="001B014E"/>
    <w:rsid w:val="001B044D"/>
    <w:rsid w:val="001B07B2"/>
    <w:rsid w:val="001B14C1"/>
    <w:rsid w:val="001B15B6"/>
    <w:rsid w:val="001B161F"/>
    <w:rsid w:val="001B1E2E"/>
    <w:rsid w:val="001B32FB"/>
    <w:rsid w:val="001B3BC3"/>
    <w:rsid w:val="001B4001"/>
    <w:rsid w:val="001B4333"/>
    <w:rsid w:val="001B437A"/>
    <w:rsid w:val="001B4EBA"/>
    <w:rsid w:val="001B4F8C"/>
    <w:rsid w:val="001B5A5B"/>
    <w:rsid w:val="001B659B"/>
    <w:rsid w:val="001B6637"/>
    <w:rsid w:val="001B663F"/>
    <w:rsid w:val="001B6971"/>
    <w:rsid w:val="001B7033"/>
    <w:rsid w:val="001B708E"/>
    <w:rsid w:val="001B72DC"/>
    <w:rsid w:val="001C0D1E"/>
    <w:rsid w:val="001C1240"/>
    <w:rsid w:val="001C1BB3"/>
    <w:rsid w:val="001C1D43"/>
    <w:rsid w:val="001C23E8"/>
    <w:rsid w:val="001C34DC"/>
    <w:rsid w:val="001C3507"/>
    <w:rsid w:val="001C37A9"/>
    <w:rsid w:val="001C389D"/>
    <w:rsid w:val="001C4764"/>
    <w:rsid w:val="001C47EA"/>
    <w:rsid w:val="001C4B3F"/>
    <w:rsid w:val="001C4FA5"/>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5B1"/>
    <w:rsid w:val="001E5665"/>
    <w:rsid w:val="001E5D78"/>
    <w:rsid w:val="001E6B17"/>
    <w:rsid w:val="001E6D61"/>
    <w:rsid w:val="001E703E"/>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5512"/>
    <w:rsid w:val="001F5890"/>
    <w:rsid w:val="001F5C92"/>
    <w:rsid w:val="001F5D72"/>
    <w:rsid w:val="001F626C"/>
    <w:rsid w:val="001F65E5"/>
    <w:rsid w:val="001F6F34"/>
    <w:rsid w:val="001F71E4"/>
    <w:rsid w:val="001F79FA"/>
    <w:rsid w:val="001F7C4D"/>
    <w:rsid w:val="002002DB"/>
    <w:rsid w:val="002004D3"/>
    <w:rsid w:val="002004E9"/>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A2E"/>
    <w:rsid w:val="0020442C"/>
    <w:rsid w:val="0020560D"/>
    <w:rsid w:val="00205FA3"/>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7E8"/>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3F8E"/>
    <w:rsid w:val="00284033"/>
    <w:rsid w:val="00285573"/>
    <w:rsid w:val="00286207"/>
    <w:rsid w:val="00286371"/>
    <w:rsid w:val="002863D5"/>
    <w:rsid w:val="00286658"/>
    <w:rsid w:val="0028694F"/>
    <w:rsid w:val="00286ED4"/>
    <w:rsid w:val="00286F8B"/>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37"/>
    <w:rsid w:val="00296E6B"/>
    <w:rsid w:val="00297451"/>
    <w:rsid w:val="00297DE0"/>
    <w:rsid w:val="00297E90"/>
    <w:rsid w:val="002A0033"/>
    <w:rsid w:val="002A015E"/>
    <w:rsid w:val="002A2166"/>
    <w:rsid w:val="002A23C5"/>
    <w:rsid w:val="002A2973"/>
    <w:rsid w:val="002A2993"/>
    <w:rsid w:val="002A29D7"/>
    <w:rsid w:val="002A2B82"/>
    <w:rsid w:val="002A31E8"/>
    <w:rsid w:val="002A3341"/>
    <w:rsid w:val="002A3907"/>
    <w:rsid w:val="002A3BD8"/>
    <w:rsid w:val="002A3E86"/>
    <w:rsid w:val="002A40BD"/>
    <w:rsid w:val="002A4133"/>
    <w:rsid w:val="002A4C30"/>
    <w:rsid w:val="002A5D42"/>
    <w:rsid w:val="002A60DC"/>
    <w:rsid w:val="002A614B"/>
    <w:rsid w:val="002A6857"/>
    <w:rsid w:val="002A6AA0"/>
    <w:rsid w:val="002A75E3"/>
    <w:rsid w:val="002A7870"/>
    <w:rsid w:val="002B1F8F"/>
    <w:rsid w:val="002B1FF1"/>
    <w:rsid w:val="002B1FF9"/>
    <w:rsid w:val="002B2455"/>
    <w:rsid w:val="002B2516"/>
    <w:rsid w:val="002B2E25"/>
    <w:rsid w:val="002B3577"/>
    <w:rsid w:val="002B45AA"/>
    <w:rsid w:val="002B4EB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0FF"/>
    <w:rsid w:val="002D071A"/>
    <w:rsid w:val="002D2240"/>
    <w:rsid w:val="002D26BB"/>
    <w:rsid w:val="002D292B"/>
    <w:rsid w:val="002D299A"/>
    <w:rsid w:val="002D3085"/>
    <w:rsid w:val="002D39A1"/>
    <w:rsid w:val="002D3B28"/>
    <w:rsid w:val="002D4B4A"/>
    <w:rsid w:val="002D4C48"/>
    <w:rsid w:val="002D57B1"/>
    <w:rsid w:val="002D5835"/>
    <w:rsid w:val="002D586C"/>
    <w:rsid w:val="002D5E3C"/>
    <w:rsid w:val="002D65C7"/>
    <w:rsid w:val="002D6BDE"/>
    <w:rsid w:val="002D748F"/>
    <w:rsid w:val="002D7685"/>
    <w:rsid w:val="002D78D5"/>
    <w:rsid w:val="002D7EE5"/>
    <w:rsid w:val="002E0753"/>
    <w:rsid w:val="002E092D"/>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2300"/>
    <w:rsid w:val="002F269A"/>
    <w:rsid w:val="002F283F"/>
    <w:rsid w:val="002F2D3B"/>
    <w:rsid w:val="002F2DF1"/>
    <w:rsid w:val="002F32C4"/>
    <w:rsid w:val="002F389A"/>
    <w:rsid w:val="002F3AF3"/>
    <w:rsid w:val="002F3DC9"/>
    <w:rsid w:val="002F41AD"/>
    <w:rsid w:val="002F43FB"/>
    <w:rsid w:val="002F4F10"/>
    <w:rsid w:val="002F5527"/>
    <w:rsid w:val="002F5672"/>
    <w:rsid w:val="002F6321"/>
    <w:rsid w:val="002F64DA"/>
    <w:rsid w:val="002F6B99"/>
    <w:rsid w:val="002F6F3F"/>
    <w:rsid w:val="002F7041"/>
    <w:rsid w:val="002F7307"/>
    <w:rsid w:val="002F744E"/>
    <w:rsid w:val="002F78F6"/>
    <w:rsid w:val="002F7FD1"/>
    <w:rsid w:val="00300ACD"/>
    <w:rsid w:val="00300FBA"/>
    <w:rsid w:val="00301348"/>
    <w:rsid w:val="0030299D"/>
    <w:rsid w:val="00302FC2"/>
    <w:rsid w:val="00303418"/>
    <w:rsid w:val="00303D7A"/>
    <w:rsid w:val="00303E78"/>
    <w:rsid w:val="00304319"/>
    <w:rsid w:val="003044DD"/>
    <w:rsid w:val="00304C4C"/>
    <w:rsid w:val="00304F87"/>
    <w:rsid w:val="0030511C"/>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920"/>
    <w:rsid w:val="00311C67"/>
    <w:rsid w:val="003121BD"/>
    <w:rsid w:val="00312591"/>
    <w:rsid w:val="00313719"/>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276"/>
    <w:rsid w:val="00324355"/>
    <w:rsid w:val="00324C8F"/>
    <w:rsid w:val="00324EF3"/>
    <w:rsid w:val="003250DA"/>
    <w:rsid w:val="0032538B"/>
    <w:rsid w:val="00325D02"/>
    <w:rsid w:val="00325FB1"/>
    <w:rsid w:val="003262D8"/>
    <w:rsid w:val="00326780"/>
    <w:rsid w:val="0032716F"/>
    <w:rsid w:val="00327258"/>
    <w:rsid w:val="00327B5C"/>
    <w:rsid w:val="00327D05"/>
    <w:rsid w:val="00331251"/>
    <w:rsid w:val="0033133D"/>
    <w:rsid w:val="00331B0D"/>
    <w:rsid w:val="00331B42"/>
    <w:rsid w:val="00331F28"/>
    <w:rsid w:val="00331F60"/>
    <w:rsid w:val="00332A3B"/>
    <w:rsid w:val="00332E63"/>
    <w:rsid w:val="0033353B"/>
    <w:rsid w:val="0033380C"/>
    <w:rsid w:val="003340DC"/>
    <w:rsid w:val="0033431C"/>
    <w:rsid w:val="003343B0"/>
    <w:rsid w:val="003344B5"/>
    <w:rsid w:val="003348A3"/>
    <w:rsid w:val="0033529C"/>
    <w:rsid w:val="00335F81"/>
    <w:rsid w:val="0033686C"/>
    <w:rsid w:val="00337014"/>
    <w:rsid w:val="0033793F"/>
    <w:rsid w:val="0034016A"/>
    <w:rsid w:val="0034026F"/>
    <w:rsid w:val="00340B11"/>
    <w:rsid w:val="00340B71"/>
    <w:rsid w:val="00340EBF"/>
    <w:rsid w:val="00341294"/>
    <w:rsid w:val="00341ADA"/>
    <w:rsid w:val="00342F84"/>
    <w:rsid w:val="003435B3"/>
    <w:rsid w:val="003442B0"/>
    <w:rsid w:val="00344673"/>
    <w:rsid w:val="003446BA"/>
    <w:rsid w:val="003453EB"/>
    <w:rsid w:val="00345721"/>
    <w:rsid w:val="00345BD2"/>
    <w:rsid w:val="00345E5B"/>
    <w:rsid w:val="0034618E"/>
    <w:rsid w:val="003465C1"/>
    <w:rsid w:val="0034692C"/>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2EF9"/>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1098"/>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1F2"/>
    <w:rsid w:val="0038060E"/>
    <w:rsid w:val="003806B5"/>
    <w:rsid w:val="00381934"/>
    <w:rsid w:val="00381A7A"/>
    <w:rsid w:val="00382108"/>
    <w:rsid w:val="00382335"/>
    <w:rsid w:val="00382B6B"/>
    <w:rsid w:val="00382D5F"/>
    <w:rsid w:val="00382DD6"/>
    <w:rsid w:val="0038336D"/>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38F"/>
    <w:rsid w:val="00393614"/>
    <w:rsid w:val="003936F2"/>
    <w:rsid w:val="00393873"/>
    <w:rsid w:val="00394D01"/>
    <w:rsid w:val="003950DD"/>
    <w:rsid w:val="00395EC0"/>
    <w:rsid w:val="0039607A"/>
    <w:rsid w:val="0039647A"/>
    <w:rsid w:val="003967B5"/>
    <w:rsid w:val="00396825"/>
    <w:rsid w:val="003A1B19"/>
    <w:rsid w:val="003A28A9"/>
    <w:rsid w:val="003A2D00"/>
    <w:rsid w:val="003A3270"/>
    <w:rsid w:val="003A37E1"/>
    <w:rsid w:val="003A469E"/>
    <w:rsid w:val="003A4876"/>
    <w:rsid w:val="003A48D5"/>
    <w:rsid w:val="003A5662"/>
    <w:rsid w:val="003A5B6D"/>
    <w:rsid w:val="003A609A"/>
    <w:rsid w:val="003A64BB"/>
    <w:rsid w:val="003A76F1"/>
    <w:rsid w:val="003A7929"/>
    <w:rsid w:val="003A7986"/>
    <w:rsid w:val="003A7BFB"/>
    <w:rsid w:val="003A7E9E"/>
    <w:rsid w:val="003B008A"/>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48B9"/>
    <w:rsid w:val="003B5182"/>
    <w:rsid w:val="003B5239"/>
    <w:rsid w:val="003B57E4"/>
    <w:rsid w:val="003B5923"/>
    <w:rsid w:val="003B5F06"/>
    <w:rsid w:val="003B5F9C"/>
    <w:rsid w:val="003B5F9D"/>
    <w:rsid w:val="003B6E0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407"/>
    <w:rsid w:val="003C381B"/>
    <w:rsid w:val="003C3A38"/>
    <w:rsid w:val="003C5AA9"/>
    <w:rsid w:val="003C5C76"/>
    <w:rsid w:val="003C6879"/>
    <w:rsid w:val="003C6E8A"/>
    <w:rsid w:val="003C7296"/>
    <w:rsid w:val="003C7437"/>
    <w:rsid w:val="003D072B"/>
    <w:rsid w:val="003D0774"/>
    <w:rsid w:val="003D1AD3"/>
    <w:rsid w:val="003D22F7"/>
    <w:rsid w:val="003D25F7"/>
    <w:rsid w:val="003D299C"/>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D7D69"/>
    <w:rsid w:val="003E01AA"/>
    <w:rsid w:val="003E0335"/>
    <w:rsid w:val="003E0386"/>
    <w:rsid w:val="003E0880"/>
    <w:rsid w:val="003E10AF"/>
    <w:rsid w:val="003E1296"/>
    <w:rsid w:val="003E143D"/>
    <w:rsid w:val="003E162A"/>
    <w:rsid w:val="003E16B3"/>
    <w:rsid w:val="003E191E"/>
    <w:rsid w:val="003E19CE"/>
    <w:rsid w:val="003E1CD0"/>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D08"/>
    <w:rsid w:val="0040416A"/>
    <w:rsid w:val="00405597"/>
    <w:rsid w:val="004061CC"/>
    <w:rsid w:val="00406346"/>
    <w:rsid w:val="004065E5"/>
    <w:rsid w:val="00406A79"/>
    <w:rsid w:val="004071C1"/>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298"/>
    <w:rsid w:val="00415B49"/>
    <w:rsid w:val="00415D8B"/>
    <w:rsid w:val="004163E0"/>
    <w:rsid w:val="00416E15"/>
    <w:rsid w:val="00417836"/>
    <w:rsid w:val="00420033"/>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A0"/>
    <w:rsid w:val="00424CBA"/>
    <w:rsid w:val="00424F43"/>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CA5"/>
    <w:rsid w:val="00433E48"/>
    <w:rsid w:val="004342E0"/>
    <w:rsid w:val="00434570"/>
    <w:rsid w:val="00434855"/>
    <w:rsid w:val="00434CDD"/>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4B1"/>
    <w:rsid w:val="00442872"/>
    <w:rsid w:val="004428C3"/>
    <w:rsid w:val="004428DC"/>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49EC"/>
    <w:rsid w:val="00454B8A"/>
    <w:rsid w:val="00454D5C"/>
    <w:rsid w:val="004558AE"/>
    <w:rsid w:val="00455D28"/>
    <w:rsid w:val="00456877"/>
    <w:rsid w:val="0045731E"/>
    <w:rsid w:val="00457567"/>
    <w:rsid w:val="00457754"/>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BD5"/>
    <w:rsid w:val="00467FC2"/>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0DE7"/>
    <w:rsid w:val="004819D9"/>
    <w:rsid w:val="00482DD9"/>
    <w:rsid w:val="004835A3"/>
    <w:rsid w:val="004837D1"/>
    <w:rsid w:val="00483943"/>
    <w:rsid w:val="00485764"/>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F40"/>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BA1"/>
    <w:rsid w:val="00496FDF"/>
    <w:rsid w:val="004974F8"/>
    <w:rsid w:val="00497817"/>
    <w:rsid w:val="00497860"/>
    <w:rsid w:val="00497877"/>
    <w:rsid w:val="00497F51"/>
    <w:rsid w:val="004A0A2F"/>
    <w:rsid w:val="004A1D04"/>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833"/>
    <w:rsid w:val="004B5067"/>
    <w:rsid w:val="004B5218"/>
    <w:rsid w:val="004B5CEE"/>
    <w:rsid w:val="004B5E9B"/>
    <w:rsid w:val="004B627C"/>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87A"/>
    <w:rsid w:val="004C4B1D"/>
    <w:rsid w:val="004C53D8"/>
    <w:rsid w:val="004C5872"/>
    <w:rsid w:val="004C66F1"/>
    <w:rsid w:val="004C6C5C"/>
    <w:rsid w:val="004C7412"/>
    <w:rsid w:val="004C7937"/>
    <w:rsid w:val="004C7F29"/>
    <w:rsid w:val="004C7F37"/>
    <w:rsid w:val="004D00D6"/>
    <w:rsid w:val="004D0D39"/>
    <w:rsid w:val="004D124A"/>
    <w:rsid w:val="004D1781"/>
    <w:rsid w:val="004D1FDE"/>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3FCF"/>
    <w:rsid w:val="004E46A3"/>
    <w:rsid w:val="004E5418"/>
    <w:rsid w:val="004E61B6"/>
    <w:rsid w:val="004E68D9"/>
    <w:rsid w:val="004E6B02"/>
    <w:rsid w:val="004E76F5"/>
    <w:rsid w:val="004F04BB"/>
    <w:rsid w:val="004F0998"/>
    <w:rsid w:val="004F16E2"/>
    <w:rsid w:val="004F1A5F"/>
    <w:rsid w:val="004F21EE"/>
    <w:rsid w:val="004F4010"/>
    <w:rsid w:val="004F52E1"/>
    <w:rsid w:val="004F5348"/>
    <w:rsid w:val="004F5986"/>
    <w:rsid w:val="004F5A45"/>
    <w:rsid w:val="004F5F8D"/>
    <w:rsid w:val="004F6373"/>
    <w:rsid w:val="004F677C"/>
    <w:rsid w:val="004F6A9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193"/>
    <w:rsid w:val="00506658"/>
    <w:rsid w:val="005066FF"/>
    <w:rsid w:val="0050706F"/>
    <w:rsid w:val="0050772B"/>
    <w:rsid w:val="0051016B"/>
    <w:rsid w:val="005104A0"/>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CBC"/>
    <w:rsid w:val="005172BB"/>
    <w:rsid w:val="00517B5C"/>
    <w:rsid w:val="00517CCB"/>
    <w:rsid w:val="00520CC3"/>
    <w:rsid w:val="00520F0F"/>
    <w:rsid w:val="00521159"/>
    <w:rsid w:val="005211C4"/>
    <w:rsid w:val="00522156"/>
    <w:rsid w:val="0052250B"/>
    <w:rsid w:val="00522599"/>
    <w:rsid w:val="00522C81"/>
    <w:rsid w:val="00522E18"/>
    <w:rsid w:val="0052439D"/>
    <w:rsid w:val="005256B0"/>
    <w:rsid w:val="00525BF0"/>
    <w:rsid w:val="00525C2F"/>
    <w:rsid w:val="0052632B"/>
    <w:rsid w:val="0052664A"/>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0E87"/>
    <w:rsid w:val="0054133C"/>
    <w:rsid w:val="00541579"/>
    <w:rsid w:val="00541CDF"/>
    <w:rsid w:val="00542C4D"/>
    <w:rsid w:val="005433E8"/>
    <w:rsid w:val="005438EC"/>
    <w:rsid w:val="00543F2E"/>
    <w:rsid w:val="0054466D"/>
    <w:rsid w:val="00544E84"/>
    <w:rsid w:val="00545F72"/>
    <w:rsid w:val="005468EB"/>
    <w:rsid w:val="00546DDE"/>
    <w:rsid w:val="0054729A"/>
    <w:rsid w:val="005474DE"/>
    <w:rsid w:val="0054769B"/>
    <w:rsid w:val="00547C2B"/>
    <w:rsid w:val="00547DFE"/>
    <w:rsid w:val="00547EBF"/>
    <w:rsid w:val="005502D9"/>
    <w:rsid w:val="00550583"/>
    <w:rsid w:val="00550A34"/>
    <w:rsid w:val="00550C47"/>
    <w:rsid w:val="00550EBE"/>
    <w:rsid w:val="00550F14"/>
    <w:rsid w:val="00550FDA"/>
    <w:rsid w:val="00551A52"/>
    <w:rsid w:val="00551ED9"/>
    <w:rsid w:val="00552A95"/>
    <w:rsid w:val="00552C55"/>
    <w:rsid w:val="00552EA4"/>
    <w:rsid w:val="00553677"/>
    <w:rsid w:val="00553EA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0D25"/>
    <w:rsid w:val="00561031"/>
    <w:rsid w:val="005610D2"/>
    <w:rsid w:val="005626F7"/>
    <w:rsid w:val="00562CE2"/>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C5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589"/>
    <w:rsid w:val="00585A04"/>
    <w:rsid w:val="005864A9"/>
    <w:rsid w:val="005864C2"/>
    <w:rsid w:val="005864FA"/>
    <w:rsid w:val="00586956"/>
    <w:rsid w:val="00586B16"/>
    <w:rsid w:val="00586B2C"/>
    <w:rsid w:val="005870EA"/>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2DC"/>
    <w:rsid w:val="00594704"/>
    <w:rsid w:val="00595F91"/>
    <w:rsid w:val="00596617"/>
    <w:rsid w:val="00596ADF"/>
    <w:rsid w:val="00596EA2"/>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1A7"/>
    <w:rsid w:val="005B622A"/>
    <w:rsid w:val="005B631C"/>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2B50"/>
    <w:rsid w:val="005C319B"/>
    <w:rsid w:val="005C3EE4"/>
    <w:rsid w:val="005C46CC"/>
    <w:rsid w:val="005C4881"/>
    <w:rsid w:val="005C49A5"/>
    <w:rsid w:val="005C4B21"/>
    <w:rsid w:val="005C5490"/>
    <w:rsid w:val="005C571B"/>
    <w:rsid w:val="005C5B5A"/>
    <w:rsid w:val="005C5DAD"/>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6338"/>
    <w:rsid w:val="005D67F2"/>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E7B01"/>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4C8"/>
    <w:rsid w:val="005F7AA1"/>
    <w:rsid w:val="006010A4"/>
    <w:rsid w:val="00601A0C"/>
    <w:rsid w:val="006022FE"/>
    <w:rsid w:val="0060245E"/>
    <w:rsid w:val="006034A7"/>
    <w:rsid w:val="00604275"/>
    <w:rsid w:val="006045AC"/>
    <w:rsid w:val="00604847"/>
    <w:rsid w:val="00604D12"/>
    <w:rsid w:val="00604DDD"/>
    <w:rsid w:val="00604E0E"/>
    <w:rsid w:val="00605A45"/>
    <w:rsid w:val="00605EE9"/>
    <w:rsid w:val="006064F7"/>
    <w:rsid w:val="00606620"/>
    <w:rsid w:val="00606976"/>
    <w:rsid w:val="00606DD8"/>
    <w:rsid w:val="00606F6F"/>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5C5F"/>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09A"/>
    <w:rsid w:val="00626C0D"/>
    <w:rsid w:val="00627034"/>
    <w:rsid w:val="00627189"/>
    <w:rsid w:val="00627285"/>
    <w:rsid w:val="00627325"/>
    <w:rsid w:val="006274B4"/>
    <w:rsid w:val="0062751C"/>
    <w:rsid w:val="006276A9"/>
    <w:rsid w:val="0063099F"/>
    <w:rsid w:val="00630BD3"/>
    <w:rsid w:val="00631142"/>
    <w:rsid w:val="00631C31"/>
    <w:rsid w:val="00631DA7"/>
    <w:rsid w:val="0063224E"/>
    <w:rsid w:val="00632296"/>
    <w:rsid w:val="006328D9"/>
    <w:rsid w:val="00632E8A"/>
    <w:rsid w:val="006330F0"/>
    <w:rsid w:val="006331FF"/>
    <w:rsid w:val="00633786"/>
    <w:rsid w:val="00633A9B"/>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161"/>
    <w:rsid w:val="006442D2"/>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16F"/>
    <w:rsid w:val="00652A0C"/>
    <w:rsid w:val="00653196"/>
    <w:rsid w:val="00653279"/>
    <w:rsid w:val="006535DD"/>
    <w:rsid w:val="006540F6"/>
    <w:rsid w:val="006550A4"/>
    <w:rsid w:val="0065515B"/>
    <w:rsid w:val="006551B4"/>
    <w:rsid w:val="006554D3"/>
    <w:rsid w:val="00655828"/>
    <w:rsid w:val="00655AA9"/>
    <w:rsid w:val="00656666"/>
    <w:rsid w:val="0065692A"/>
    <w:rsid w:val="00657A09"/>
    <w:rsid w:val="00657B8D"/>
    <w:rsid w:val="00660409"/>
    <w:rsid w:val="00660948"/>
    <w:rsid w:val="006614E0"/>
    <w:rsid w:val="00661A5F"/>
    <w:rsid w:val="00661EC4"/>
    <w:rsid w:val="00662717"/>
    <w:rsid w:val="00662924"/>
    <w:rsid w:val="006630AB"/>
    <w:rsid w:val="006632B0"/>
    <w:rsid w:val="00664234"/>
    <w:rsid w:val="00664591"/>
    <w:rsid w:val="00664901"/>
    <w:rsid w:val="00664B76"/>
    <w:rsid w:val="00664F0E"/>
    <w:rsid w:val="00665E21"/>
    <w:rsid w:val="006666AB"/>
    <w:rsid w:val="00666869"/>
    <w:rsid w:val="00666A8C"/>
    <w:rsid w:val="00666F9C"/>
    <w:rsid w:val="00667547"/>
    <w:rsid w:val="006709A3"/>
    <w:rsid w:val="0067179E"/>
    <w:rsid w:val="006719B3"/>
    <w:rsid w:val="0067271D"/>
    <w:rsid w:val="00672918"/>
    <w:rsid w:val="00673291"/>
    <w:rsid w:val="006733C9"/>
    <w:rsid w:val="00673EF8"/>
    <w:rsid w:val="006740EF"/>
    <w:rsid w:val="006745D6"/>
    <w:rsid w:val="00674A38"/>
    <w:rsid w:val="00675543"/>
    <w:rsid w:val="006755C2"/>
    <w:rsid w:val="00675884"/>
    <w:rsid w:val="00675C27"/>
    <w:rsid w:val="00675F92"/>
    <w:rsid w:val="0067691F"/>
    <w:rsid w:val="006772B6"/>
    <w:rsid w:val="00677371"/>
    <w:rsid w:val="0067751B"/>
    <w:rsid w:val="00680B4A"/>
    <w:rsid w:val="00681722"/>
    <w:rsid w:val="0068176D"/>
    <w:rsid w:val="00681EF1"/>
    <w:rsid w:val="00682042"/>
    <w:rsid w:val="0068260E"/>
    <w:rsid w:val="006827EE"/>
    <w:rsid w:val="00682A28"/>
    <w:rsid w:val="00682A8F"/>
    <w:rsid w:val="00683723"/>
    <w:rsid w:val="00683FFC"/>
    <w:rsid w:val="00684129"/>
    <w:rsid w:val="00684427"/>
    <w:rsid w:val="00684908"/>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7DE"/>
    <w:rsid w:val="0069446A"/>
    <w:rsid w:val="00694768"/>
    <w:rsid w:val="00694D5D"/>
    <w:rsid w:val="00694E59"/>
    <w:rsid w:val="0069517C"/>
    <w:rsid w:val="006955A5"/>
    <w:rsid w:val="00696F88"/>
    <w:rsid w:val="0069733E"/>
    <w:rsid w:val="0069761B"/>
    <w:rsid w:val="006977CC"/>
    <w:rsid w:val="006979E2"/>
    <w:rsid w:val="006A0455"/>
    <w:rsid w:val="006A0685"/>
    <w:rsid w:val="006A0CB5"/>
    <w:rsid w:val="006A0D71"/>
    <w:rsid w:val="006A1540"/>
    <w:rsid w:val="006A15DE"/>
    <w:rsid w:val="006A1830"/>
    <w:rsid w:val="006A3056"/>
    <w:rsid w:val="006A35BD"/>
    <w:rsid w:val="006A369C"/>
    <w:rsid w:val="006A3874"/>
    <w:rsid w:val="006A395C"/>
    <w:rsid w:val="006A3E88"/>
    <w:rsid w:val="006A46A7"/>
    <w:rsid w:val="006A4A4E"/>
    <w:rsid w:val="006A4B54"/>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5276"/>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141"/>
    <w:rsid w:val="006E09A8"/>
    <w:rsid w:val="006E0CC1"/>
    <w:rsid w:val="006E0F17"/>
    <w:rsid w:val="006E12C2"/>
    <w:rsid w:val="006E1301"/>
    <w:rsid w:val="006E159E"/>
    <w:rsid w:val="006E1D2E"/>
    <w:rsid w:val="006E3403"/>
    <w:rsid w:val="006E3408"/>
    <w:rsid w:val="006E3575"/>
    <w:rsid w:val="006E379A"/>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0FB9"/>
    <w:rsid w:val="006F1317"/>
    <w:rsid w:val="006F158E"/>
    <w:rsid w:val="006F1BDF"/>
    <w:rsid w:val="006F1D3C"/>
    <w:rsid w:val="006F1DA9"/>
    <w:rsid w:val="006F2110"/>
    <w:rsid w:val="006F2884"/>
    <w:rsid w:val="006F2E00"/>
    <w:rsid w:val="006F3274"/>
    <w:rsid w:val="006F3859"/>
    <w:rsid w:val="006F38FF"/>
    <w:rsid w:val="006F4204"/>
    <w:rsid w:val="006F49AE"/>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BAF"/>
    <w:rsid w:val="00707E3F"/>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216B"/>
    <w:rsid w:val="0072272A"/>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4E1"/>
    <w:rsid w:val="0072792D"/>
    <w:rsid w:val="00727AEE"/>
    <w:rsid w:val="00730ED3"/>
    <w:rsid w:val="00731071"/>
    <w:rsid w:val="00731270"/>
    <w:rsid w:val="0073137A"/>
    <w:rsid w:val="00731526"/>
    <w:rsid w:val="0073196A"/>
    <w:rsid w:val="0073218C"/>
    <w:rsid w:val="00732509"/>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6D"/>
    <w:rsid w:val="00736D52"/>
    <w:rsid w:val="00736DF6"/>
    <w:rsid w:val="007372D5"/>
    <w:rsid w:val="007372FB"/>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C87"/>
    <w:rsid w:val="00756E3A"/>
    <w:rsid w:val="007605E9"/>
    <w:rsid w:val="007619AD"/>
    <w:rsid w:val="00761BA6"/>
    <w:rsid w:val="00761F36"/>
    <w:rsid w:val="00762D94"/>
    <w:rsid w:val="00762E71"/>
    <w:rsid w:val="00764778"/>
    <w:rsid w:val="00765421"/>
    <w:rsid w:val="0076546D"/>
    <w:rsid w:val="00766479"/>
    <w:rsid w:val="00766751"/>
    <w:rsid w:val="00766A2B"/>
    <w:rsid w:val="00766F3F"/>
    <w:rsid w:val="007670F0"/>
    <w:rsid w:val="0076798E"/>
    <w:rsid w:val="00767B7B"/>
    <w:rsid w:val="007702D5"/>
    <w:rsid w:val="00770946"/>
    <w:rsid w:val="00770C60"/>
    <w:rsid w:val="00770E78"/>
    <w:rsid w:val="00770EF5"/>
    <w:rsid w:val="0077108D"/>
    <w:rsid w:val="00771479"/>
    <w:rsid w:val="00771D69"/>
    <w:rsid w:val="007726A7"/>
    <w:rsid w:val="007726F1"/>
    <w:rsid w:val="0077302C"/>
    <w:rsid w:val="0077343C"/>
    <w:rsid w:val="007734AC"/>
    <w:rsid w:val="00773AE5"/>
    <w:rsid w:val="0077493F"/>
    <w:rsid w:val="00774C13"/>
    <w:rsid w:val="00775C1B"/>
    <w:rsid w:val="0077600D"/>
    <w:rsid w:val="007762BA"/>
    <w:rsid w:val="0077704B"/>
    <w:rsid w:val="007773C4"/>
    <w:rsid w:val="00777F46"/>
    <w:rsid w:val="00780611"/>
    <w:rsid w:val="007810AF"/>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D73"/>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2B6"/>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B5F"/>
    <w:rsid w:val="007B2FBF"/>
    <w:rsid w:val="007B34A4"/>
    <w:rsid w:val="007B3C0B"/>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6C15"/>
    <w:rsid w:val="007C7CF6"/>
    <w:rsid w:val="007D0010"/>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DB5"/>
    <w:rsid w:val="007E3ED4"/>
    <w:rsid w:val="007E499F"/>
    <w:rsid w:val="007E4FEC"/>
    <w:rsid w:val="007E52F4"/>
    <w:rsid w:val="007E5F5F"/>
    <w:rsid w:val="007E639E"/>
    <w:rsid w:val="007E66C3"/>
    <w:rsid w:val="007E6CAD"/>
    <w:rsid w:val="007E6E66"/>
    <w:rsid w:val="007E7153"/>
    <w:rsid w:val="007E7858"/>
    <w:rsid w:val="007F0BBF"/>
    <w:rsid w:val="007F0C3A"/>
    <w:rsid w:val="007F0E96"/>
    <w:rsid w:val="007F1254"/>
    <w:rsid w:val="007F13E2"/>
    <w:rsid w:val="007F146B"/>
    <w:rsid w:val="007F1720"/>
    <w:rsid w:val="007F1B05"/>
    <w:rsid w:val="007F20BA"/>
    <w:rsid w:val="007F2CE5"/>
    <w:rsid w:val="007F2EB7"/>
    <w:rsid w:val="007F31A0"/>
    <w:rsid w:val="007F3343"/>
    <w:rsid w:val="007F389C"/>
    <w:rsid w:val="007F39E0"/>
    <w:rsid w:val="007F4105"/>
    <w:rsid w:val="007F42FA"/>
    <w:rsid w:val="007F4304"/>
    <w:rsid w:val="007F43AF"/>
    <w:rsid w:val="007F481D"/>
    <w:rsid w:val="007F4B9F"/>
    <w:rsid w:val="007F506A"/>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1E0"/>
    <w:rsid w:val="0081555C"/>
    <w:rsid w:val="00815566"/>
    <w:rsid w:val="00815E64"/>
    <w:rsid w:val="00816F76"/>
    <w:rsid w:val="00817033"/>
    <w:rsid w:val="0081743C"/>
    <w:rsid w:val="00817678"/>
    <w:rsid w:val="008179FE"/>
    <w:rsid w:val="0082000D"/>
    <w:rsid w:val="008200CA"/>
    <w:rsid w:val="008206C3"/>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09"/>
    <w:rsid w:val="008401D6"/>
    <w:rsid w:val="00840364"/>
    <w:rsid w:val="0084058A"/>
    <w:rsid w:val="008407FC"/>
    <w:rsid w:val="00840D60"/>
    <w:rsid w:val="00840EC5"/>
    <w:rsid w:val="00841331"/>
    <w:rsid w:val="008416A1"/>
    <w:rsid w:val="0084197B"/>
    <w:rsid w:val="00841DEF"/>
    <w:rsid w:val="00841E99"/>
    <w:rsid w:val="00842DC0"/>
    <w:rsid w:val="00842E3F"/>
    <w:rsid w:val="00842EA5"/>
    <w:rsid w:val="00842FE0"/>
    <w:rsid w:val="00843047"/>
    <w:rsid w:val="008437FF"/>
    <w:rsid w:val="0084394B"/>
    <w:rsid w:val="008444F9"/>
    <w:rsid w:val="0084482E"/>
    <w:rsid w:val="00844DBF"/>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281"/>
    <w:rsid w:val="0085567B"/>
    <w:rsid w:val="00855690"/>
    <w:rsid w:val="00855F51"/>
    <w:rsid w:val="00855F63"/>
    <w:rsid w:val="00856475"/>
    <w:rsid w:val="00856BFE"/>
    <w:rsid w:val="00856E70"/>
    <w:rsid w:val="0085727F"/>
    <w:rsid w:val="008575B1"/>
    <w:rsid w:val="00857A1F"/>
    <w:rsid w:val="00857ABD"/>
    <w:rsid w:val="008624E7"/>
    <w:rsid w:val="0086252F"/>
    <w:rsid w:val="00862B09"/>
    <w:rsid w:val="00863247"/>
    <w:rsid w:val="00863301"/>
    <w:rsid w:val="00863423"/>
    <w:rsid w:val="00863426"/>
    <w:rsid w:val="00864689"/>
    <w:rsid w:val="00865E57"/>
    <w:rsid w:val="00865F0F"/>
    <w:rsid w:val="00865F3C"/>
    <w:rsid w:val="008666D1"/>
    <w:rsid w:val="008667B8"/>
    <w:rsid w:val="00867928"/>
    <w:rsid w:val="00867E17"/>
    <w:rsid w:val="00870A83"/>
    <w:rsid w:val="00871644"/>
    <w:rsid w:val="0087165E"/>
    <w:rsid w:val="00872029"/>
    <w:rsid w:val="0087220C"/>
    <w:rsid w:val="008724BA"/>
    <w:rsid w:val="008735D5"/>
    <w:rsid w:val="00874063"/>
    <w:rsid w:val="00874211"/>
    <w:rsid w:val="008752FB"/>
    <w:rsid w:val="00875455"/>
    <w:rsid w:val="00875966"/>
    <w:rsid w:val="0087626A"/>
    <w:rsid w:val="00876456"/>
    <w:rsid w:val="00876A06"/>
    <w:rsid w:val="00877764"/>
    <w:rsid w:val="00877A19"/>
    <w:rsid w:val="0088076A"/>
    <w:rsid w:val="00880AC0"/>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D1E"/>
    <w:rsid w:val="00884A5B"/>
    <w:rsid w:val="00885536"/>
    <w:rsid w:val="0088558B"/>
    <w:rsid w:val="00885C25"/>
    <w:rsid w:val="008860A1"/>
    <w:rsid w:val="008863CE"/>
    <w:rsid w:val="00886551"/>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2E0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443"/>
    <w:rsid w:val="008B19E3"/>
    <w:rsid w:val="008B19EA"/>
    <w:rsid w:val="008B1B00"/>
    <w:rsid w:val="008B22CE"/>
    <w:rsid w:val="008B284F"/>
    <w:rsid w:val="008B2998"/>
    <w:rsid w:val="008B3044"/>
    <w:rsid w:val="008B3131"/>
    <w:rsid w:val="008B319E"/>
    <w:rsid w:val="008B35A0"/>
    <w:rsid w:val="008B3852"/>
    <w:rsid w:val="008B3D1E"/>
    <w:rsid w:val="008B4AF5"/>
    <w:rsid w:val="008B529D"/>
    <w:rsid w:val="008B57ED"/>
    <w:rsid w:val="008B5978"/>
    <w:rsid w:val="008B5F51"/>
    <w:rsid w:val="008B60FA"/>
    <w:rsid w:val="008B68BF"/>
    <w:rsid w:val="008B6EC4"/>
    <w:rsid w:val="008B79F1"/>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362"/>
    <w:rsid w:val="008C45BD"/>
    <w:rsid w:val="008C49AC"/>
    <w:rsid w:val="008C51AC"/>
    <w:rsid w:val="008C57A9"/>
    <w:rsid w:val="008C6315"/>
    <w:rsid w:val="008C7CC9"/>
    <w:rsid w:val="008D0797"/>
    <w:rsid w:val="008D0A2C"/>
    <w:rsid w:val="008D0BAD"/>
    <w:rsid w:val="008D0F24"/>
    <w:rsid w:val="008D169B"/>
    <w:rsid w:val="008D233A"/>
    <w:rsid w:val="008D29C0"/>
    <w:rsid w:val="008D32A9"/>
    <w:rsid w:val="008D436F"/>
    <w:rsid w:val="008D4B0B"/>
    <w:rsid w:val="008D4FDA"/>
    <w:rsid w:val="008D7410"/>
    <w:rsid w:val="008D745A"/>
    <w:rsid w:val="008E01E5"/>
    <w:rsid w:val="008E05C3"/>
    <w:rsid w:val="008E07B3"/>
    <w:rsid w:val="008E0FDA"/>
    <w:rsid w:val="008E18F2"/>
    <w:rsid w:val="008E1B4C"/>
    <w:rsid w:val="008E25D0"/>
    <w:rsid w:val="008E25EB"/>
    <w:rsid w:val="008E2633"/>
    <w:rsid w:val="008E2662"/>
    <w:rsid w:val="008E37F6"/>
    <w:rsid w:val="008E3A3C"/>
    <w:rsid w:val="008E3BCB"/>
    <w:rsid w:val="008E40CC"/>
    <w:rsid w:val="008E43E2"/>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9B6"/>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F84"/>
    <w:rsid w:val="009051EF"/>
    <w:rsid w:val="00905557"/>
    <w:rsid w:val="00905C08"/>
    <w:rsid w:val="00906435"/>
    <w:rsid w:val="00906E43"/>
    <w:rsid w:val="00910330"/>
    <w:rsid w:val="00910625"/>
    <w:rsid w:val="00910695"/>
    <w:rsid w:val="0091110C"/>
    <w:rsid w:val="009112E8"/>
    <w:rsid w:val="00911A11"/>
    <w:rsid w:val="00911C40"/>
    <w:rsid w:val="00912169"/>
    <w:rsid w:val="00912307"/>
    <w:rsid w:val="00912326"/>
    <w:rsid w:val="00912968"/>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DE6"/>
    <w:rsid w:val="009231BB"/>
    <w:rsid w:val="009232F0"/>
    <w:rsid w:val="0092342A"/>
    <w:rsid w:val="009234A6"/>
    <w:rsid w:val="00923D36"/>
    <w:rsid w:val="00923F40"/>
    <w:rsid w:val="00924145"/>
    <w:rsid w:val="009243B0"/>
    <w:rsid w:val="00925225"/>
    <w:rsid w:val="00925909"/>
    <w:rsid w:val="00925E77"/>
    <w:rsid w:val="0092635A"/>
    <w:rsid w:val="00926A10"/>
    <w:rsid w:val="00926F49"/>
    <w:rsid w:val="009271B9"/>
    <w:rsid w:val="00927C62"/>
    <w:rsid w:val="0093032D"/>
    <w:rsid w:val="0093035B"/>
    <w:rsid w:val="0093061F"/>
    <w:rsid w:val="00930A38"/>
    <w:rsid w:val="00930A59"/>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EF7"/>
    <w:rsid w:val="0094240E"/>
    <w:rsid w:val="009425DF"/>
    <w:rsid w:val="009427EC"/>
    <w:rsid w:val="009435E6"/>
    <w:rsid w:val="00943620"/>
    <w:rsid w:val="0094389F"/>
    <w:rsid w:val="00944791"/>
    <w:rsid w:val="00944AF1"/>
    <w:rsid w:val="00944F95"/>
    <w:rsid w:val="00945BE5"/>
    <w:rsid w:val="0094621E"/>
    <w:rsid w:val="00946C26"/>
    <w:rsid w:val="009470FF"/>
    <w:rsid w:val="00947F06"/>
    <w:rsid w:val="00950452"/>
    <w:rsid w:val="00950C61"/>
    <w:rsid w:val="00950D30"/>
    <w:rsid w:val="00951DE2"/>
    <w:rsid w:val="0095234C"/>
    <w:rsid w:val="0095253C"/>
    <w:rsid w:val="0095282B"/>
    <w:rsid w:val="00953878"/>
    <w:rsid w:val="00953A7B"/>
    <w:rsid w:val="00953B12"/>
    <w:rsid w:val="00953E2B"/>
    <w:rsid w:val="00954B3D"/>
    <w:rsid w:val="00956143"/>
    <w:rsid w:val="00956922"/>
    <w:rsid w:val="00956ED3"/>
    <w:rsid w:val="009573AB"/>
    <w:rsid w:val="0095747B"/>
    <w:rsid w:val="00957AF5"/>
    <w:rsid w:val="00957F64"/>
    <w:rsid w:val="00960510"/>
    <w:rsid w:val="00960ADF"/>
    <w:rsid w:val="00960B93"/>
    <w:rsid w:val="0096101D"/>
    <w:rsid w:val="00961B38"/>
    <w:rsid w:val="009621D7"/>
    <w:rsid w:val="0096284C"/>
    <w:rsid w:val="009630FF"/>
    <w:rsid w:val="00963662"/>
    <w:rsid w:val="00963949"/>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1B77"/>
    <w:rsid w:val="00991D92"/>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5FBB"/>
    <w:rsid w:val="009A70B3"/>
    <w:rsid w:val="009A780E"/>
    <w:rsid w:val="009A78F4"/>
    <w:rsid w:val="009B097E"/>
    <w:rsid w:val="009B0E52"/>
    <w:rsid w:val="009B1168"/>
    <w:rsid w:val="009B16F2"/>
    <w:rsid w:val="009B1A96"/>
    <w:rsid w:val="009B2AA6"/>
    <w:rsid w:val="009B348C"/>
    <w:rsid w:val="009B36B5"/>
    <w:rsid w:val="009B3ABC"/>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BE7"/>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F24"/>
    <w:rsid w:val="009D35BD"/>
    <w:rsid w:val="009D35EC"/>
    <w:rsid w:val="009D3A23"/>
    <w:rsid w:val="009D419F"/>
    <w:rsid w:val="009D4F0C"/>
    <w:rsid w:val="009D530B"/>
    <w:rsid w:val="009D54A1"/>
    <w:rsid w:val="009D5855"/>
    <w:rsid w:val="009D58F3"/>
    <w:rsid w:val="009D61BE"/>
    <w:rsid w:val="009D6CBA"/>
    <w:rsid w:val="009D6EB2"/>
    <w:rsid w:val="009D7747"/>
    <w:rsid w:val="009D79DA"/>
    <w:rsid w:val="009E07C4"/>
    <w:rsid w:val="009E123E"/>
    <w:rsid w:val="009E12F0"/>
    <w:rsid w:val="009E1400"/>
    <w:rsid w:val="009E15AF"/>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5F"/>
    <w:rsid w:val="009F5965"/>
    <w:rsid w:val="009F6D75"/>
    <w:rsid w:val="009F71DE"/>
    <w:rsid w:val="009F77F9"/>
    <w:rsid w:val="009F795D"/>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72C"/>
    <w:rsid w:val="00A40971"/>
    <w:rsid w:val="00A40DF6"/>
    <w:rsid w:val="00A40E41"/>
    <w:rsid w:val="00A413CA"/>
    <w:rsid w:val="00A41D0F"/>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E9A"/>
    <w:rsid w:val="00A52EA5"/>
    <w:rsid w:val="00A53A07"/>
    <w:rsid w:val="00A53A63"/>
    <w:rsid w:val="00A5429A"/>
    <w:rsid w:val="00A554D0"/>
    <w:rsid w:val="00A55839"/>
    <w:rsid w:val="00A56490"/>
    <w:rsid w:val="00A56BD3"/>
    <w:rsid w:val="00A5719A"/>
    <w:rsid w:val="00A57ABD"/>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87C"/>
    <w:rsid w:val="00A675F9"/>
    <w:rsid w:val="00A707FA"/>
    <w:rsid w:val="00A70ED1"/>
    <w:rsid w:val="00A715A0"/>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80C"/>
    <w:rsid w:val="00A75AF6"/>
    <w:rsid w:val="00A76083"/>
    <w:rsid w:val="00A764DD"/>
    <w:rsid w:val="00A7682D"/>
    <w:rsid w:val="00A7688F"/>
    <w:rsid w:val="00A76EE2"/>
    <w:rsid w:val="00A76FC4"/>
    <w:rsid w:val="00A7734D"/>
    <w:rsid w:val="00A773E9"/>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F67"/>
    <w:rsid w:val="00A850B8"/>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060"/>
    <w:rsid w:val="00A9447D"/>
    <w:rsid w:val="00A945C5"/>
    <w:rsid w:val="00A947C1"/>
    <w:rsid w:val="00A9546A"/>
    <w:rsid w:val="00A9654E"/>
    <w:rsid w:val="00A970A6"/>
    <w:rsid w:val="00A9724B"/>
    <w:rsid w:val="00A972C8"/>
    <w:rsid w:val="00A97753"/>
    <w:rsid w:val="00A97D05"/>
    <w:rsid w:val="00A97DE4"/>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899"/>
    <w:rsid w:val="00AA6BE8"/>
    <w:rsid w:val="00AA6D97"/>
    <w:rsid w:val="00AA763C"/>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4738"/>
    <w:rsid w:val="00AC53D5"/>
    <w:rsid w:val="00AC588E"/>
    <w:rsid w:val="00AC593D"/>
    <w:rsid w:val="00AC6016"/>
    <w:rsid w:val="00AC67AC"/>
    <w:rsid w:val="00AC68E6"/>
    <w:rsid w:val="00AC6962"/>
    <w:rsid w:val="00AC7018"/>
    <w:rsid w:val="00AC72B2"/>
    <w:rsid w:val="00AC7788"/>
    <w:rsid w:val="00AC78B2"/>
    <w:rsid w:val="00AC7E76"/>
    <w:rsid w:val="00AD0141"/>
    <w:rsid w:val="00AD01A3"/>
    <w:rsid w:val="00AD098E"/>
    <w:rsid w:val="00AD1D7A"/>
    <w:rsid w:val="00AD2B43"/>
    <w:rsid w:val="00AD2E43"/>
    <w:rsid w:val="00AD2FC9"/>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59B"/>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EA0"/>
    <w:rsid w:val="00AE6088"/>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1DE"/>
    <w:rsid w:val="00AF3297"/>
    <w:rsid w:val="00AF3579"/>
    <w:rsid w:val="00AF4E45"/>
    <w:rsid w:val="00AF4FB6"/>
    <w:rsid w:val="00AF5B11"/>
    <w:rsid w:val="00AF5DAA"/>
    <w:rsid w:val="00AF68C6"/>
    <w:rsid w:val="00AF7FEB"/>
    <w:rsid w:val="00B006E0"/>
    <w:rsid w:val="00B01301"/>
    <w:rsid w:val="00B01914"/>
    <w:rsid w:val="00B01D02"/>
    <w:rsid w:val="00B02414"/>
    <w:rsid w:val="00B029C7"/>
    <w:rsid w:val="00B029D8"/>
    <w:rsid w:val="00B02AE0"/>
    <w:rsid w:val="00B02F52"/>
    <w:rsid w:val="00B03A9D"/>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73B"/>
    <w:rsid w:val="00B1596D"/>
    <w:rsid w:val="00B1640F"/>
    <w:rsid w:val="00B167D7"/>
    <w:rsid w:val="00B169B1"/>
    <w:rsid w:val="00B16AF2"/>
    <w:rsid w:val="00B16EEF"/>
    <w:rsid w:val="00B1716A"/>
    <w:rsid w:val="00B17D5B"/>
    <w:rsid w:val="00B17DFB"/>
    <w:rsid w:val="00B22177"/>
    <w:rsid w:val="00B224D9"/>
    <w:rsid w:val="00B22DA6"/>
    <w:rsid w:val="00B22EBB"/>
    <w:rsid w:val="00B22F46"/>
    <w:rsid w:val="00B231DB"/>
    <w:rsid w:val="00B23369"/>
    <w:rsid w:val="00B23406"/>
    <w:rsid w:val="00B2371E"/>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6B6"/>
    <w:rsid w:val="00B377DD"/>
    <w:rsid w:val="00B37F54"/>
    <w:rsid w:val="00B4094F"/>
    <w:rsid w:val="00B409FB"/>
    <w:rsid w:val="00B41B72"/>
    <w:rsid w:val="00B4257B"/>
    <w:rsid w:val="00B42FE2"/>
    <w:rsid w:val="00B43111"/>
    <w:rsid w:val="00B43516"/>
    <w:rsid w:val="00B43EC2"/>
    <w:rsid w:val="00B444DF"/>
    <w:rsid w:val="00B4459E"/>
    <w:rsid w:val="00B44B0B"/>
    <w:rsid w:val="00B45243"/>
    <w:rsid w:val="00B4579E"/>
    <w:rsid w:val="00B45898"/>
    <w:rsid w:val="00B458DE"/>
    <w:rsid w:val="00B459F6"/>
    <w:rsid w:val="00B46D69"/>
    <w:rsid w:val="00B470EF"/>
    <w:rsid w:val="00B47509"/>
    <w:rsid w:val="00B512C9"/>
    <w:rsid w:val="00B512DB"/>
    <w:rsid w:val="00B51B7A"/>
    <w:rsid w:val="00B52AB8"/>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414"/>
    <w:rsid w:val="00B67A98"/>
    <w:rsid w:val="00B71FFB"/>
    <w:rsid w:val="00B722FB"/>
    <w:rsid w:val="00B72507"/>
    <w:rsid w:val="00B727D3"/>
    <w:rsid w:val="00B72AA8"/>
    <w:rsid w:val="00B72EDE"/>
    <w:rsid w:val="00B733C3"/>
    <w:rsid w:val="00B73666"/>
    <w:rsid w:val="00B73E7B"/>
    <w:rsid w:val="00B73EEC"/>
    <w:rsid w:val="00B742D1"/>
    <w:rsid w:val="00B74E7B"/>
    <w:rsid w:val="00B750E2"/>
    <w:rsid w:val="00B7516D"/>
    <w:rsid w:val="00B7527A"/>
    <w:rsid w:val="00B76B89"/>
    <w:rsid w:val="00B76E98"/>
    <w:rsid w:val="00B76F09"/>
    <w:rsid w:val="00B76FBB"/>
    <w:rsid w:val="00B777FC"/>
    <w:rsid w:val="00B77BF7"/>
    <w:rsid w:val="00B77ECC"/>
    <w:rsid w:val="00B80711"/>
    <w:rsid w:val="00B814EE"/>
    <w:rsid w:val="00B81941"/>
    <w:rsid w:val="00B82295"/>
    <w:rsid w:val="00B82750"/>
    <w:rsid w:val="00B82FA8"/>
    <w:rsid w:val="00B83694"/>
    <w:rsid w:val="00B83D94"/>
    <w:rsid w:val="00B83D9C"/>
    <w:rsid w:val="00B83EAB"/>
    <w:rsid w:val="00B83FF6"/>
    <w:rsid w:val="00B84179"/>
    <w:rsid w:val="00B84388"/>
    <w:rsid w:val="00B845D3"/>
    <w:rsid w:val="00B845E6"/>
    <w:rsid w:val="00B84821"/>
    <w:rsid w:val="00B849E7"/>
    <w:rsid w:val="00B857FF"/>
    <w:rsid w:val="00B85807"/>
    <w:rsid w:val="00B861D9"/>
    <w:rsid w:val="00B86589"/>
    <w:rsid w:val="00B86F27"/>
    <w:rsid w:val="00B87AD4"/>
    <w:rsid w:val="00B87F30"/>
    <w:rsid w:val="00B90000"/>
    <w:rsid w:val="00B90C64"/>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2BF"/>
    <w:rsid w:val="00BA105E"/>
    <w:rsid w:val="00BA23E7"/>
    <w:rsid w:val="00BA27FC"/>
    <w:rsid w:val="00BA2BC5"/>
    <w:rsid w:val="00BA2F0C"/>
    <w:rsid w:val="00BA2F69"/>
    <w:rsid w:val="00BA317D"/>
    <w:rsid w:val="00BA3270"/>
    <w:rsid w:val="00BA3D64"/>
    <w:rsid w:val="00BA3F36"/>
    <w:rsid w:val="00BA4225"/>
    <w:rsid w:val="00BA55DD"/>
    <w:rsid w:val="00BA75AA"/>
    <w:rsid w:val="00BA79DE"/>
    <w:rsid w:val="00BA7DCA"/>
    <w:rsid w:val="00BB0551"/>
    <w:rsid w:val="00BB0A30"/>
    <w:rsid w:val="00BB0F9D"/>
    <w:rsid w:val="00BB1931"/>
    <w:rsid w:val="00BB1F6B"/>
    <w:rsid w:val="00BB2161"/>
    <w:rsid w:val="00BB2554"/>
    <w:rsid w:val="00BB2557"/>
    <w:rsid w:val="00BB2BBB"/>
    <w:rsid w:val="00BB3734"/>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3F2"/>
    <w:rsid w:val="00BC0493"/>
    <w:rsid w:val="00BC059F"/>
    <w:rsid w:val="00BC09A7"/>
    <w:rsid w:val="00BC1714"/>
    <w:rsid w:val="00BC1C4B"/>
    <w:rsid w:val="00BC1D81"/>
    <w:rsid w:val="00BC2017"/>
    <w:rsid w:val="00BC218D"/>
    <w:rsid w:val="00BC246D"/>
    <w:rsid w:val="00BC27E1"/>
    <w:rsid w:val="00BC2938"/>
    <w:rsid w:val="00BC2DA6"/>
    <w:rsid w:val="00BC3204"/>
    <w:rsid w:val="00BC3805"/>
    <w:rsid w:val="00BC38B3"/>
    <w:rsid w:val="00BC3982"/>
    <w:rsid w:val="00BC3A99"/>
    <w:rsid w:val="00BC45C8"/>
    <w:rsid w:val="00BC45F2"/>
    <w:rsid w:val="00BC4C1F"/>
    <w:rsid w:val="00BC4EAF"/>
    <w:rsid w:val="00BC4FC5"/>
    <w:rsid w:val="00BC5E4F"/>
    <w:rsid w:val="00BC626B"/>
    <w:rsid w:val="00BC65F1"/>
    <w:rsid w:val="00BC6942"/>
    <w:rsid w:val="00BC6EC2"/>
    <w:rsid w:val="00BC763C"/>
    <w:rsid w:val="00BC7B0E"/>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BD"/>
    <w:rsid w:val="00BD51DD"/>
    <w:rsid w:val="00BD556D"/>
    <w:rsid w:val="00BD5790"/>
    <w:rsid w:val="00BD59BE"/>
    <w:rsid w:val="00BD5ECA"/>
    <w:rsid w:val="00BD7070"/>
    <w:rsid w:val="00BD7480"/>
    <w:rsid w:val="00BD7495"/>
    <w:rsid w:val="00BD7A85"/>
    <w:rsid w:val="00BE04C7"/>
    <w:rsid w:val="00BE0779"/>
    <w:rsid w:val="00BE0896"/>
    <w:rsid w:val="00BE19EA"/>
    <w:rsid w:val="00BE1AFD"/>
    <w:rsid w:val="00BE20EF"/>
    <w:rsid w:val="00BE223D"/>
    <w:rsid w:val="00BE238A"/>
    <w:rsid w:val="00BE277C"/>
    <w:rsid w:val="00BE354A"/>
    <w:rsid w:val="00BE3778"/>
    <w:rsid w:val="00BE38EA"/>
    <w:rsid w:val="00BE476F"/>
    <w:rsid w:val="00BE5190"/>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4CA"/>
    <w:rsid w:val="00C058F0"/>
    <w:rsid w:val="00C05B24"/>
    <w:rsid w:val="00C05F0D"/>
    <w:rsid w:val="00C06B70"/>
    <w:rsid w:val="00C06DF4"/>
    <w:rsid w:val="00C07A01"/>
    <w:rsid w:val="00C07A1B"/>
    <w:rsid w:val="00C103A5"/>
    <w:rsid w:val="00C106F5"/>
    <w:rsid w:val="00C10BB2"/>
    <w:rsid w:val="00C10E9B"/>
    <w:rsid w:val="00C11133"/>
    <w:rsid w:val="00C11173"/>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A3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E28"/>
    <w:rsid w:val="00C379A7"/>
    <w:rsid w:val="00C37F40"/>
    <w:rsid w:val="00C400C1"/>
    <w:rsid w:val="00C407E0"/>
    <w:rsid w:val="00C40CE0"/>
    <w:rsid w:val="00C40EC4"/>
    <w:rsid w:val="00C418EF"/>
    <w:rsid w:val="00C4199E"/>
    <w:rsid w:val="00C419E8"/>
    <w:rsid w:val="00C41D95"/>
    <w:rsid w:val="00C4207E"/>
    <w:rsid w:val="00C4283F"/>
    <w:rsid w:val="00C42BAE"/>
    <w:rsid w:val="00C42FD8"/>
    <w:rsid w:val="00C4321B"/>
    <w:rsid w:val="00C437F1"/>
    <w:rsid w:val="00C43D1B"/>
    <w:rsid w:val="00C44D3D"/>
    <w:rsid w:val="00C45A95"/>
    <w:rsid w:val="00C46D24"/>
    <w:rsid w:val="00C47ABA"/>
    <w:rsid w:val="00C5016D"/>
    <w:rsid w:val="00C50B47"/>
    <w:rsid w:val="00C50D30"/>
    <w:rsid w:val="00C514ED"/>
    <w:rsid w:val="00C51773"/>
    <w:rsid w:val="00C520C5"/>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906"/>
    <w:rsid w:val="00C55CAF"/>
    <w:rsid w:val="00C56455"/>
    <w:rsid w:val="00C568A3"/>
    <w:rsid w:val="00C57060"/>
    <w:rsid w:val="00C5752B"/>
    <w:rsid w:val="00C57533"/>
    <w:rsid w:val="00C57573"/>
    <w:rsid w:val="00C57574"/>
    <w:rsid w:val="00C57C8B"/>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41B"/>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A01"/>
    <w:rsid w:val="00C75BD3"/>
    <w:rsid w:val="00C75C50"/>
    <w:rsid w:val="00C761CF"/>
    <w:rsid w:val="00C7649E"/>
    <w:rsid w:val="00C767BA"/>
    <w:rsid w:val="00C76A94"/>
    <w:rsid w:val="00C772B6"/>
    <w:rsid w:val="00C7749E"/>
    <w:rsid w:val="00C775FD"/>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7BF"/>
    <w:rsid w:val="00C918DD"/>
    <w:rsid w:val="00C91DB5"/>
    <w:rsid w:val="00C9216E"/>
    <w:rsid w:val="00C94BF2"/>
    <w:rsid w:val="00C950EA"/>
    <w:rsid w:val="00C9533C"/>
    <w:rsid w:val="00C95CB8"/>
    <w:rsid w:val="00C95E5B"/>
    <w:rsid w:val="00C96032"/>
    <w:rsid w:val="00C9779D"/>
    <w:rsid w:val="00CA0B6C"/>
    <w:rsid w:val="00CA12EE"/>
    <w:rsid w:val="00CA1A4B"/>
    <w:rsid w:val="00CA1B52"/>
    <w:rsid w:val="00CA2495"/>
    <w:rsid w:val="00CA2C40"/>
    <w:rsid w:val="00CA2C91"/>
    <w:rsid w:val="00CA2CDD"/>
    <w:rsid w:val="00CA2E21"/>
    <w:rsid w:val="00CA2EC3"/>
    <w:rsid w:val="00CA3784"/>
    <w:rsid w:val="00CA39C1"/>
    <w:rsid w:val="00CA3CF7"/>
    <w:rsid w:val="00CA4608"/>
    <w:rsid w:val="00CA4ECB"/>
    <w:rsid w:val="00CA58EE"/>
    <w:rsid w:val="00CA599D"/>
    <w:rsid w:val="00CA5F1E"/>
    <w:rsid w:val="00CA6ABF"/>
    <w:rsid w:val="00CA73EE"/>
    <w:rsid w:val="00CA77A1"/>
    <w:rsid w:val="00CA7927"/>
    <w:rsid w:val="00CA7A66"/>
    <w:rsid w:val="00CB0608"/>
    <w:rsid w:val="00CB0B33"/>
    <w:rsid w:val="00CB0E08"/>
    <w:rsid w:val="00CB116F"/>
    <w:rsid w:val="00CB1342"/>
    <w:rsid w:val="00CB1902"/>
    <w:rsid w:val="00CB1F9F"/>
    <w:rsid w:val="00CB2685"/>
    <w:rsid w:val="00CB2AAC"/>
    <w:rsid w:val="00CB2CD3"/>
    <w:rsid w:val="00CB30B8"/>
    <w:rsid w:val="00CB40A5"/>
    <w:rsid w:val="00CB474E"/>
    <w:rsid w:val="00CB50A6"/>
    <w:rsid w:val="00CB5115"/>
    <w:rsid w:val="00CB5137"/>
    <w:rsid w:val="00CB5217"/>
    <w:rsid w:val="00CB6752"/>
    <w:rsid w:val="00CB702A"/>
    <w:rsid w:val="00CB7D59"/>
    <w:rsid w:val="00CB7E23"/>
    <w:rsid w:val="00CC024D"/>
    <w:rsid w:val="00CC0659"/>
    <w:rsid w:val="00CC1B2D"/>
    <w:rsid w:val="00CC1F35"/>
    <w:rsid w:val="00CC2288"/>
    <w:rsid w:val="00CC2671"/>
    <w:rsid w:val="00CC268C"/>
    <w:rsid w:val="00CC26AC"/>
    <w:rsid w:val="00CC2807"/>
    <w:rsid w:val="00CC2C6B"/>
    <w:rsid w:val="00CC2EAE"/>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64D"/>
    <w:rsid w:val="00CD192A"/>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F1A"/>
    <w:rsid w:val="00CE449C"/>
    <w:rsid w:val="00CE4886"/>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FAB"/>
    <w:rsid w:val="00CF4F85"/>
    <w:rsid w:val="00CF57FF"/>
    <w:rsid w:val="00CF587C"/>
    <w:rsid w:val="00CF588A"/>
    <w:rsid w:val="00CF5BEE"/>
    <w:rsid w:val="00CF681C"/>
    <w:rsid w:val="00CF692C"/>
    <w:rsid w:val="00CF7DD7"/>
    <w:rsid w:val="00D01300"/>
    <w:rsid w:val="00D01453"/>
    <w:rsid w:val="00D017E5"/>
    <w:rsid w:val="00D027FD"/>
    <w:rsid w:val="00D02ECC"/>
    <w:rsid w:val="00D02F4C"/>
    <w:rsid w:val="00D03014"/>
    <w:rsid w:val="00D03243"/>
    <w:rsid w:val="00D038AE"/>
    <w:rsid w:val="00D0477B"/>
    <w:rsid w:val="00D04A14"/>
    <w:rsid w:val="00D04D4D"/>
    <w:rsid w:val="00D05185"/>
    <w:rsid w:val="00D05509"/>
    <w:rsid w:val="00D05A4D"/>
    <w:rsid w:val="00D05EAC"/>
    <w:rsid w:val="00D05F56"/>
    <w:rsid w:val="00D06169"/>
    <w:rsid w:val="00D064E2"/>
    <w:rsid w:val="00D06516"/>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385F"/>
    <w:rsid w:val="00D13906"/>
    <w:rsid w:val="00D141EF"/>
    <w:rsid w:val="00D143A0"/>
    <w:rsid w:val="00D154C1"/>
    <w:rsid w:val="00D1578E"/>
    <w:rsid w:val="00D15D57"/>
    <w:rsid w:val="00D15E8C"/>
    <w:rsid w:val="00D16CEB"/>
    <w:rsid w:val="00D176E9"/>
    <w:rsid w:val="00D17D95"/>
    <w:rsid w:val="00D20BD5"/>
    <w:rsid w:val="00D20FC7"/>
    <w:rsid w:val="00D2166B"/>
    <w:rsid w:val="00D22231"/>
    <w:rsid w:val="00D22266"/>
    <w:rsid w:val="00D23188"/>
    <w:rsid w:val="00D231ED"/>
    <w:rsid w:val="00D23225"/>
    <w:rsid w:val="00D23260"/>
    <w:rsid w:val="00D23AEC"/>
    <w:rsid w:val="00D23C52"/>
    <w:rsid w:val="00D23FFE"/>
    <w:rsid w:val="00D2499A"/>
    <w:rsid w:val="00D24BAD"/>
    <w:rsid w:val="00D24C77"/>
    <w:rsid w:val="00D25656"/>
    <w:rsid w:val="00D26A8F"/>
    <w:rsid w:val="00D26E94"/>
    <w:rsid w:val="00D27339"/>
    <w:rsid w:val="00D27340"/>
    <w:rsid w:val="00D27426"/>
    <w:rsid w:val="00D27CE9"/>
    <w:rsid w:val="00D30182"/>
    <w:rsid w:val="00D302B5"/>
    <w:rsid w:val="00D30308"/>
    <w:rsid w:val="00D3085D"/>
    <w:rsid w:val="00D30A6E"/>
    <w:rsid w:val="00D31AEA"/>
    <w:rsid w:val="00D328AB"/>
    <w:rsid w:val="00D32C2B"/>
    <w:rsid w:val="00D33347"/>
    <w:rsid w:val="00D33F19"/>
    <w:rsid w:val="00D340A4"/>
    <w:rsid w:val="00D3426D"/>
    <w:rsid w:val="00D3435E"/>
    <w:rsid w:val="00D34AEE"/>
    <w:rsid w:val="00D34AF5"/>
    <w:rsid w:val="00D34BEE"/>
    <w:rsid w:val="00D35342"/>
    <w:rsid w:val="00D35EF1"/>
    <w:rsid w:val="00D36495"/>
    <w:rsid w:val="00D371FD"/>
    <w:rsid w:val="00D400E9"/>
    <w:rsid w:val="00D4057F"/>
    <w:rsid w:val="00D40C4B"/>
    <w:rsid w:val="00D41825"/>
    <w:rsid w:val="00D41A63"/>
    <w:rsid w:val="00D41A9F"/>
    <w:rsid w:val="00D41FE7"/>
    <w:rsid w:val="00D421EA"/>
    <w:rsid w:val="00D431B5"/>
    <w:rsid w:val="00D431E7"/>
    <w:rsid w:val="00D43A88"/>
    <w:rsid w:val="00D44383"/>
    <w:rsid w:val="00D44C0B"/>
    <w:rsid w:val="00D44FCE"/>
    <w:rsid w:val="00D461CD"/>
    <w:rsid w:val="00D46F0A"/>
    <w:rsid w:val="00D4726C"/>
    <w:rsid w:val="00D47570"/>
    <w:rsid w:val="00D47671"/>
    <w:rsid w:val="00D47AE2"/>
    <w:rsid w:val="00D50995"/>
    <w:rsid w:val="00D50E2A"/>
    <w:rsid w:val="00D50FB8"/>
    <w:rsid w:val="00D51743"/>
    <w:rsid w:val="00D51DBD"/>
    <w:rsid w:val="00D51F65"/>
    <w:rsid w:val="00D52300"/>
    <w:rsid w:val="00D53167"/>
    <w:rsid w:val="00D53DED"/>
    <w:rsid w:val="00D5433E"/>
    <w:rsid w:val="00D54963"/>
    <w:rsid w:val="00D5549A"/>
    <w:rsid w:val="00D55BF6"/>
    <w:rsid w:val="00D55C6C"/>
    <w:rsid w:val="00D5603F"/>
    <w:rsid w:val="00D561E7"/>
    <w:rsid w:val="00D56E57"/>
    <w:rsid w:val="00D570C2"/>
    <w:rsid w:val="00D573A6"/>
    <w:rsid w:val="00D5798C"/>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8"/>
    <w:rsid w:val="00D86C34"/>
    <w:rsid w:val="00D86C6C"/>
    <w:rsid w:val="00D90BFE"/>
    <w:rsid w:val="00D9370A"/>
    <w:rsid w:val="00D9496A"/>
    <w:rsid w:val="00D94BAE"/>
    <w:rsid w:val="00D9516F"/>
    <w:rsid w:val="00D9519B"/>
    <w:rsid w:val="00D95A78"/>
    <w:rsid w:val="00D95F3A"/>
    <w:rsid w:val="00D96176"/>
    <w:rsid w:val="00D96187"/>
    <w:rsid w:val="00D96408"/>
    <w:rsid w:val="00D967AC"/>
    <w:rsid w:val="00D96828"/>
    <w:rsid w:val="00DA01F3"/>
    <w:rsid w:val="00DA0EEC"/>
    <w:rsid w:val="00DA127A"/>
    <w:rsid w:val="00DA18C9"/>
    <w:rsid w:val="00DA191A"/>
    <w:rsid w:val="00DA1C91"/>
    <w:rsid w:val="00DA29C8"/>
    <w:rsid w:val="00DA2ACA"/>
    <w:rsid w:val="00DA3646"/>
    <w:rsid w:val="00DA3843"/>
    <w:rsid w:val="00DA3CB6"/>
    <w:rsid w:val="00DA3FCB"/>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158"/>
    <w:rsid w:val="00DB3906"/>
    <w:rsid w:val="00DB524A"/>
    <w:rsid w:val="00DB5500"/>
    <w:rsid w:val="00DB5B58"/>
    <w:rsid w:val="00DB6740"/>
    <w:rsid w:val="00DB6882"/>
    <w:rsid w:val="00DB6AFD"/>
    <w:rsid w:val="00DB6F9E"/>
    <w:rsid w:val="00DB7162"/>
    <w:rsid w:val="00DB7188"/>
    <w:rsid w:val="00DB7BA9"/>
    <w:rsid w:val="00DC0799"/>
    <w:rsid w:val="00DC1704"/>
    <w:rsid w:val="00DC1D58"/>
    <w:rsid w:val="00DC225C"/>
    <w:rsid w:val="00DC24D9"/>
    <w:rsid w:val="00DC266A"/>
    <w:rsid w:val="00DC2762"/>
    <w:rsid w:val="00DC2A73"/>
    <w:rsid w:val="00DC2A8D"/>
    <w:rsid w:val="00DC3A59"/>
    <w:rsid w:val="00DC3A75"/>
    <w:rsid w:val="00DC3B67"/>
    <w:rsid w:val="00DC3BFF"/>
    <w:rsid w:val="00DC3E10"/>
    <w:rsid w:val="00DC4256"/>
    <w:rsid w:val="00DC513D"/>
    <w:rsid w:val="00DC5C17"/>
    <w:rsid w:val="00DC714E"/>
    <w:rsid w:val="00DC718A"/>
    <w:rsid w:val="00DC7A0C"/>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437"/>
    <w:rsid w:val="00DD7820"/>
    <w:rsid w:val="00DD7C2F"/>
    <w:rsid w:val="00DE06CD"/>
    <w:rsid w:val="00DE077B"/>
    <w:rsid w:val="00DE0990"/>
    <w:rsid w:val="00DE0C49"/>
    <w:rsid w:val="00DE0CE6"/>
    <w:rsid w:val="00DE1458"/>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13D"/>
    <w:rsid w:val="00DE581C"/>
    <w:rsid w:val="00DE6FAD"/>
    <w:rsid w:val="00DE745F"/>
    <w:rsid w:val="00DE753A"/>
    <w:rsid w:val="00DE79AB"/>
    <w:rsid w:val="00DF05B1"/>
    <w:rsid w:val="00DF05DC"/>
    <w:rsid w:val="00DF06C8"/>
    <w:rsid w:val="00DF0772"/>
    <w:rsid w:val="00DF089D"/>
    <w:rsid w:val="00DF0C82"/>
    <w:rsid w:val="00DF0DD7"/>
    <w:rsid w:val="00DF0E27"/>
    <w:rsid w:val="00DF13E7"/>
    <w:rsid w:val="00DF1874"/>
    <w:rsid w:val="00DF2AD9"/>
    <w:rsid w:val="00DF37BA"/>
    <w:rsid w:val="00DF38FA"/>
    <w:rsid w:val="00DF3908"/>
    <w:rsid w:val="00DF489F"/>
    <w:rsid w:val="00DF520A"/>
    <w:rsid w:val="00DF53DD"/>
    <w:rsid w:val="00DF53EB"/>
    <w:rsid w:val="00DF5E33"/>
    <w:rsid w:val="00DF5E57"/>
    <w:rsid w:val="00DF6009"/>
    <w:rsid w:val="00DF66BA"/>
    <w:rsid w:val="00DF66D9"/>
    <w:rsid w:val="00DF6B9A"/>
    <w:rsid w:val="00DF6DBC"/>
    <w:rsid w:val="00DF6EBC"/>
    <w:rsid w:val="00DF718E"/>
    <w:rsid w:val="00DF7684"/>
    <w:rsid w:val="00DF7A78"/>
    <w:rsid w:val="00DF7F08"/>
    <w:rsid w:val="00E00193"/>
    <w:rsid w:val="00E012A6"/>
    <w:rsid w:val="00E0157D"/>
    <w:rsid w:val="00E0195D"/>
    <w:rsid w:val="00E01D6D"/>
    <w:rsid w:val="00E02B3D"/>
    <w:rsid w:val="00E02C24"/>
    <w:rsid w:val="00E0320D"/>
    <w:rsid w:val="00E0364D"/>
    <w:rsid w:val="00E03A4E"/>
    <w:rsid w:val="00E03B2D"/>
    <w:rsid w:val="00E0464B"/>
    <w:rsid w:val="00E04DB1"/>
    <w:rsid w:val="00E050B5"/>
    <w:rsid w:val="00E05E95"/>
    <w:rsid w:val="00E07C0A"/>
    <w:rsid w:val="00E07F41"/>
    <w:rsid w:val="00E10D65"/>
    <w:rsid w:val="00E11A21"/>
    <w:rsid w:val="00E12243"/>
    <w:rsid w:val="00E1246D"/>
    <w:rsid w:val="00E128A8"/>
    <w:rsid w:val="00E13657"/>
    <w:rsid w:val="00E147B3"/>
    <w:rsid w:val="00E14BE8"/>
    <w:rsid w:val="00E157DE"/>
    <w:rsid w:val="00E1596E"/>
    <w:rsid w:val="00E165AB"/>
    <w:rsid w:val="00E17333"/>
    <w:rsid w:val="00E176A4"/>
    <w:rsid w:val="00E1776D"/>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82C"/>
    <w:rsid w:val="00E34A05"/>
    <w:rsid w:val="00E35B58"/>
    <w:rsid w:val="00E35EF7"/>
    <w:rsid w:val="00E360E7"/>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BCB"/>
    <w:rsid w:val="00E44C92"/>
    <w:rsid w:val="00E450BC"/>
    <w:rsid w:val="00E464E8"/>
    <w:rsid w:val="00E46D16"/>
    <w:rsid w:val="00E47931"/>
    <w:rsid w:val="00E47AEF"/>
    <w:rsid w:val="00E47FAF"/>
    <w:rsid w:val="00E5030A"/>
    <w:rsid w:val="00E50859"/>
    <w:rsid w:val="00E51C99"/>
    <w:rsid w:val="00E51FFD"/>
    <w:rsid w:val="00E5200D"/>
    <w:rsid w:val="00E527AA"/>
    <w:rsid w:val="00E52906"/>
    <w:rsid w:val="00E532A6"/>
    <w:rsid w:val="00E53DAA"/>
    <w:rsid w:val="00E5454B"/>
    <w:rsid w:val="00E54643"/>
    <w:rsid w:val="00E5498A"/>
    <w:rsid w:val="00E5532B"/>
    <w:rsid w:val="00E5550E"/>
    <w:rsid w:val="00E55B05"/>
    <w:rsid w:val="00E55C34"/>
    <w:rsid w:val="00E55D1D"/>
    <w:rsid w:val="00E55D22"/>
    <w:rsid w:val="00E55D77"/>
    <w:rsid w:val="00E56B62"/>
    <w:rsid w:val="00E57102"/>
    <w:rsid w:val="00E57498"/>
    <w:rsid w:val="00E57BC5"/>
    <w:rsid w:val="00E60463"/>
    <w:rsid w:val="00E608C2"/>
    <w:rsid w:val="00E608D2"/>
    <w:rsid w:val="00E609A1"/>
    <w:rsid w:val="00E6162D"/>
    <w:rsid w:val="00E61EDA"/>
    <w:rsid w:val="00E62982"/>
    <w:rsid w:val="00E62DA6"/>
    <w:rsid w:val="00E62F76"/>
    <w:rsid w:val="00E63065"/>
    <w:rsid w:val="00E63B3F"/>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3464"/>
    <w:rsid w:val="00E74147"/>
    <w:rsid w:val="00E743E8"/>
    <w:rsid w:val="00E74DAD"/>
    <w:rsid w:val="00E75441"/>
    <w:rsid w:val="00E75788"/>
    <w:rsid w:val="00E75931"/>
    <w:rsid w:val="00E76D76"/>
    <w:rsid w:val="00E776FC"/>
    <w:rsid w:val="00E7784A"/>
    <w:rsid w:val="00E779D7"/>
    <w:rsid w:val="00E77C5C"/>
    <w:rsid w:val="00E8047E"/>
    <w:rsid w:val="00E80956"/>
    <w:rsid w:val="00E80E60"/>
    <w:rsid w:val="00E819EC"/>
    <w:rsid w:val="00E81D28"/>
    <w:rsid w:val="00E81D8D"/>
    <w:rsid w:val="00E81F1B"/>
    <w:rsid w:val="00E8207F"/>
    <w:rsid w:val="00E821CF"/>
    <w:rsid w:val="00E8251E"/>
    <w:rsid w:val="00E8274A"/>
    <w:rsid w:val="00E82839"/>
    <w:rsid w:val="00E82B2E"/>
    <w:rsid w:val="00E83233"/>
    <w:rsid w:val="00E83758"/>
    <w:rsid w:val="00E8378B"/>
    <w:rsid w:val="00E83899"/>
    <w:rsid w:val="00E83B79"/>
    <w:rsid w:val="00E83BC8"/>
    <w:rsid w:val="00E83C64"/>
    <w:rsid w:val="00E84A07"/>
    <w:rsid w:val="00E85AF4"/>
    <w:rsid w:val="00E85FE3"/>
    <w:rsid w:val="00E8639A"/>
    <w:rsid w:val="00E86A1C"/>
    <w:rsid w:val="00E87B44"/>
    <w:rsid w:val="00E90341"/>
    <w:rsid w:val="00E9034B"/>
    <w:rsid w:val="00E90435"/>
    <w:rsid w:val="00E904A1"/>
    <w:rsid w:val="00E908FE"/>
    <w:rsid w:val="00E909A1"/>
    <w:rsid w:val="00E90BF5"/>
    <w:rsid w:val="00E90E4D"/>
    <w:rsid w:val="00E90ED2"/>
    <w:rsid w:val="00E912C6"/>
    <w:rsid w:val="00E91705"/>
    <w:rsid w:val="00E919A6"/>
    <w:rsid w:val="00E922E4"/>
    <w:rsid w:val="00E92A69"/>
    <w:rsid w:val="00E92D64"/>
    <w:rsid w:val="00E9301B"/>
    <w:rsid w:val="00E93CB0"/>
    <w:rsid w:val="00E93D47"/>
    <w:rsid w:val="00E94169"/>
    <w:rsid w:val="00E94628"/>
    <w:rsid w:val="00E94C39"/>
    <w:rsid w:val="00E95127"/>
    <w:rsid w:val="00E95305"/>
    <w:rsid w:val="00E9535A"/>
    <w:rsid w:val="00E958AA"/>
    <w:rsid w:val="00E95D30"/>
    <w:rsid w:val="00E9744E"/>
    <w:rsid w:val="00EA0EED"/>
    <w:rsid w:val="00EA11C8"/>
    <w:rsid w:val="00EA151C"/>
    <w:rsid w:val="00EA2270"/>
    <w:rsid w:val="00EA2520"/>
    <w:rsid w:val="00EA286D"/>
    <w:rsid w:val="00EA2E2C"/>
    <w:rsid w:val="00EA31C2"/>
    <w:rsid w:val="00EA36F6"/>
    <w:rsid w:val="00EA38D3"/>
    <w:rsid w:val="00EA3A59"/>
    <w:rsid w:val="00EA3F91"/>
    <w:rsid w:val="00EA4125"/>
    <w:rsid w:val="00EA43C7"/>
    <w:rsid w:val="00EA440E"/>
    <w:rsid w:val="00EA5748"/>
    <w:rsid w:val="00EA5CF6"/>
    <w:rsid w:val="00EA73FD"/>
    <w:rsid w:val="00EA7418"/>
    <w:rsid w:val="00EA7CCB"/>
    <w:rsid w:val="00EB0381"/>
    <w:rsid w:val="00EB0684"/>
    <w:rsid w:val="00EB074F"/>
    <w:rsid w:val="00EB0F30"/>
    <w:rsid w:val="00EB1248"/>
    <w:rsid w:val="00EB1BDB"/>
    <w:rsid w:val="00EB1D82"/>
    <w:rsid w:val="00EB2706"/>
    <w:rsid w:val="00EB3148"/>
    <w:rsid w:val="00EB3461"/>
    <w:rsid w:val="00EB3663"/>
    <w:rsid w:val="00EB512D"/>
    <w:rsid w:val="00EB58C4"/>
    <w:rsid w:val="00EB58C7"/>
    <w:rsid w:val="00EB621B"/>
    <w:rsid w:val="00EB6310"/>
    <w:rsid w:val="00EB643B"/>
    <w:rsid w:val="00EB6D48"/>
    <w:rsid w:val="00EB6EA5"/>
    <w:rsid w:val="00EB73DA"/>
    <w:rsid w:val="00EB7A91"/>
    <w:rsid w:val="00EC07E1"/>
    <w:rsid w:val="00EC1AAF"/>
    <w:rsid w:val="00EC21BB"/>
    <w:rsid w:val="00EC28D1"/>
    <w:rsid w:val="00EC363B"/>
    <w:rsid w:val="00EC3F40"/>
    <w:rsid w:val="00EC3FEB"/>
    <w:rsid w:val="00EC4091"/>
    <w:rsid w:val="00EC4171"/>
    <w:rsid w:val="00EC444E"/>
    <w:rsid w:val="00EC488F"/>
    <w:rsid w:val="00EC5A9B"/>
    <w:rsid w:val="00ED0376"/>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97C"/>
    <w:rsid w:val="00ED5CC0"/>
    <w:rsid w:val="00ED5D50"/>
    <w:rsid w:val="00ED6BC8"/>
    <w:rsid w:val="00ED707F"/>
    <w:rsid w:val="00ED7180"/>
    <w:rsid w:val="00ED7AC1"/>
    <w:rsid w:val="00EE08C0"/>
    <w:rsid w:val="00EE1136"/>
    <w:rsid w:val="00EE1770"/>
    <w:rsid w:val="00EE18C7"/>
    <w:rsid w:val="00EE2248"/>
    <w:rsid w:val="00EE343D"/>
    <w:rsid w:val="00EE3804"/>
    <w:rsid w:val="00EE3A90"/>
    <w:rsid w:val="00EE40F7"/>
    <w:rsid w:val="00EE47AC"/>
    <w:rsid w:val="00EE49F2"/>
    <w:rsid w:val="00EE4D65"/>
    <w:rsid w:val="00EE57BF"/>
    <w:rsid w:val="00EE5EE7"/>
    <w:rsid w:val="00EE716D"/>
    <w:rsid w:val="00EE7666"/>
    <w:rsid w:val="00EF017A"/>
    <w:rsid w:val="00EF0454"/>
    <w:rsid w:val="00EF16AF"/>
    <w:rsid w:val="00EF17E8"/>
    <w:rsid w:val="00EF20F9"/>
    <w:rsid w:val="00EF2999"/>
    <w:rsid w:val="00EF2B02"/>
    <w:rsid w:val="00EF31DC"/>
    <w:rsid w:val="00EF32DC"/>
    <w:rsid w:val="00EF33D3"/>
    <w:rsid w:val="00EF39FA"/>
    <w:rsid w:val="00EF3E46"/>
    <w:rsid w:val="00EF40D6"/>
    <w:rsid w:val="00EF45A5"/>
    <w:rsid w:val="00EF466C"/>
    <w:rsid w:val="00EF4731"/>
    <w:rsid w:val="00EF49B9"/>
    <w:rsid w:val="00EF4C48"/>
    <w:rsid w:val="00EF52A7"/>
    <w:rsid w:val="00EF5644"/>
    <w:rsid w:val="00EF58D6"/>
    <w:rsid w:val="00EF5E59"/>
    <w:rsid w:val="00EF6104"/>
    <w:rsid w:val="00EF63E9"/>
    <w:rsid w:val="00EF6F55"/>
    <w:rsid w:val="00EF706A"/>
    <w:rsid w:val="00EF7378"/>
    <w:rsid w:val="00EF76F3"/>
    <w:rsid w:val="00EF7A64"/>
    <w:rsid w:val="00EF7C26"/>
    <w:rsid w:val="00F00E5F"/>
    <w:rsid w:val="00F0143D"/>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2CC"/>
    <w:rsid w:val="00F17A4D"/>
    <w:rsid w:val="00F202FA"/>
    <w:rsid w:val="00F209F3"/>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4C76"/>
    <w:rsid w:val="00F25739"/>
    <w:rsid w:val="00F25790"/>
    <w:rsid w:val="00F25F40"/>
    <w:rsid w:val="00F26092"/>
    <w:rsid w:val="00F263ED"/>
    <w:rsid w:val="00F26B4E"/>
    <w:rsid w:val="00F26C22"/>
    <w:rsid w:val="00F311D3"/>
    <w:rsid w:val="00F31D7D"/>
    <w:rsid w:val="00F32759"/>
    <w:rsid w:val="00F32D9E"/>
    <w:rsid w:val="00F33320"/>
    <w:rsid w:val="00F33916"/>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1DB"/>
    <w:rsid w:val="00F535A2"/>
    <w:rsid w:val="00F53772"/>
    <w:rsid w:val="00F53BC0"/>
    <w:rsid w:val="00F53F1E"/>
    <w:rsid w:val="00F5490C"/>
    <w:rsid w:val="00F55417"/>
    <w:rsid w:val="00F5606F"/>
    <w:rsid w:val="00F56804"/>
    <w:rsid w:val="00F56E8B"/>
    <w:rsid w:val="00F57A3D"/>
    <w:rsid w:val="00F600F6"/>
    <w:rsid w:val="00F60279"/>
    <w:rsid w:val="00F6114B"/>
    <w:rsid w:val="00F61EC6"/>
    <w:rsid w:val="00F62579"/>
    <w:rsid w:val="00F63875"/>
    <w:rsid w:val="00F65530"/>
    <w:rsid w:val="00F6585D"/>
    <w:rsid w:val="00F65CE2"/>
    <w:rsid w:val="00F66587"/>
    <w:rsid w:val="00F66717"/>
    <w:rsid w:val="00F66992"/>
    <w:rsid w:val="00F672BB"/>
    <w:rsid w:val="00F67472"/>
    <w:rsid w:val="00F67AC3"/>
    <w:rsid w:val="00F67E82"/>
    <w:rsid w:val="00F7027D"/>
    <w:rsid w:val="00F703A4"/>
    <w:rsid w:val="00F70418"/>
    <w:rsid w:val="00F70D1C"/>
    <w:rsid w:val="00F7117D"/>
    <w:rsid w:val="00F71A33"/>
    <w:rsid w:val="00F71B15"/>
    <w:rsid w:val="00F7246A"/>
    <w:rsid w:val="00F72D9D"/>
    <w:rsid w:val="00F72ED2"/>
    <w:rsid w:val="00F73BAB"/>
    <w:rsid w:val="00F73C50"/>
    <w:rsid w:val="00F7579F"/>
    <w:rsid w:val="00F75AEE"/>
    <w:rsid w:val="00F768E5"/>
    <w:rsid w:val="00F768F2"/>
    <w:rsid w:val="00F76C77"/>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5DC"/>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299"/>
    <w:rsid w:val="00FA537E"/>
    <w:rsid w:val="00FA5653"/>
    <w:rsid w:val="00FA588B"/>
    <w:rsid w:val="00FA5F79"/>
    <w:rsid w:val="00FA632A"/>
    <w:rsid w:val="00FA639F"/>
    <w:rsid w:val="00FA647F"/>
    <w:rsid w:val="00FA7E4E"/>
    <w:rsid w:val="00FB05A4"/>
    <w:rsid w:val="00FB066E"/>
    <w:rsid w:val="00FB0E0B"/>
    <w:rsid w:val="00FB1435"/>
    <w:rsid w:val="00FB1B02"/>
    <w:rsid w:val="00FB1EF7"/>
    <w:rsid w:val="00FB2358"/>
    <w:rsid w:val="00FB341C"/>
    <w:rsid w:val="00FB3A2B"/>
    <w:rsid w:val="00FB3B97"/>
    <w:rsid w:val="00FB3C3D"/>
    <w:rsid w:val="00FB3F04"/>
    <w:rsid w:val="00FB5B03"/>
    <w:rsid w:val="00FB5BD9"/>
    <w:rsid w:val="00FB5D14"/>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64"/>
    <w:rsid w:val="00FC46F7"/>
    <w:rsid w:val="00FC4A63"/>
    <w:rsid w:val="00FC4C42"/>
    <w:rsid w:val="00FC5B1C"/>
    <w:rsid w:val="00FC5C29"/>
    <w:rsid w:val="00FC5F8C"/>
    <w:rsid w:val="00FC6068"/>
    <w:rsid w:val="00FC68E4"/>
    <w:rsid w:val="00FC6DA4"/>
    <w:rsid w:val="00FC7009"/>
    <w:rsid w:val="00FC731C"/>
    <w:rsid w:val="00FC7650"/>
    <w:rsid w:val="00FC776A"/>
    <w:rsid w:val="00FC7B87"/>
    <w:rsid w:val="00FD0F1A"/>
    <w:rsid w:val="00FD115A"/>
    <w:rsid w:val="00FD175F"/>
    <w:rsid w:val="00FD2727"/>
    <w:rsid w:val="00FD28F6"/>
    <w:rsid w:val="00FD2E78"/>
    <w:rsid w:val="00FD362B"/>
    <w:rsid w:val="00FD3695"/>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D7627"/>
    <w:rsid w:val="00FE22EE"/>
    <w:rsid w:val="00FE25A2"/>
    <w:rsid w:val="00FE3B7A"/>
    <w:rsid w:val="00FE3F17"/>
    <w:rsid w:val="00FE422E"/>
    <w:rsid w:val="00FE46F2"/>
    <w:rsid w:val="00FE4A80"/>
    <w:rsid w:val="00FE55EA"/>
    <w:rsid w:val="00FE56D4"/>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38336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94168155">
      <w:bodyDiv w:val="1"/>
      <w:marLeft w:val="0"/>
      <w:marRight w:val="0"/>
      <w:marTop w:val="0"/>
      <w:marBottom w:val="0"/>
      <w:divBdr>
        <w:top w:val="none" w:sz="0" w:space="0" w:color="auto"/>
        <w:left w:val="none" w:sz="0" w:space="0" w:color="auto"/>
        <w:bottom w:val="none" w:sz="0" w:space="0" w:color="auto"/>
        <w:right w:val="none" w:sz="0" w:space="0" w:color="auto"/>
      </w:divBdr>
    </w:div>
    <w:div w:id="647445206">
      <w:bodyDiv w:val="1"/>
      <w:marLeft w:val="0"/>
      <w:marRight w:val="0"/>
      <w:marTop w:val="0"/>
      <w:marBottom w:val="0"/>
      <w:divBdr>
        <w:top w:val="none" w:sz="0" w:space="0" w:color="auto"/>
        <w:left w:val="none" w:sz="0" w:space="0" w:color="auto"/>
        <w:bottom w:val="none" w:sz="0" w:space="0" w:color="auto"/>
        <w:right w:val="none" w:sz="0" w:space="0" w:color="auto"/>
      </w:divBdr>
    </w:div>
    <w:div w:id="656687083">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779204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8821434">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411043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AA2EA-51FF-4083-B40F-41250AEA5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6579</TotalTime>
  <Pages>6</Pages>
  <Words>2871</Words>
  <Characters>16367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19200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246</cp:revision>
  <cp:lastPrinted>2010-01-07T02:23:00Z</cp:lastPrinted>
  <dcterms:created xsi:type="dcterms:W3CDTF">2022-09-30T11:20:00Z</dcterms:created>
  <dcterms:modified xsi:type="dcterms:W3CDTF">2023-05-15T12:56:00Z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(3)N5qHE3mMqrMa3el9NhxZn0sqcTYCeJXPj0sDOg1QyvHkcKLjLeAgpAwm6ah4hlHG4ac3Oj5R
sHokSyh3qZEndy4L/tbeKsgWg5n93wyLEnJRtzlwO7rg8ulh/QtXxToejVIe4Jc1xo3yePyP
f+gJo965v74ocW4rFB9xJnRfZC3rVz16l2ihFv5VtgwOZFOTHtE26G87i3Vg6t2szU5PRecX
5C+kTZcGe/jjpR/Bqb</vt:lpwstr>
  </property>
  <property fmtid="{D5CDD505-2E9C-101B-9397-08002B2CF9AE}" pid="15" name="_2015_ms_pID_725343_00">
    <vt:lpwstr>_2015_ms_pID_725343</vt:lpwstr>
  </property>
  <property fmtid="{D5CDD505-2E9C-101B-9397-08002B2CF9AE}" pid="16" name="_2015_ms_pID_7253431">
    <vt:lpwstr>HFZzA/DWgTocrm9EnHmkopQrjhaUp5UDvMdPVtbtwmSGO+QhwWzHXo
QHuJgb8Ph2Ys9T9Zk3c92MPolwTIVoIR65BzFsF3qtuCWDCaiqhekOFyxFaLlXQcsBmfTmjN
l2LTTfKYR/L+SXnzOj+S9xYekx4nkHO5abG9lByUb9U4Bwa4+vtBNV75exD5MaHcthAKfgI8
qSLLTeUxzA2wFrRXNyXl5HYT9cqMs2nHqZYm</vt:lpwstr>
  </property>
  <property fmtid="{D5CDD505-2E9C-101B-9397-08002B2CF9AE}" pid="17" name="_2015_ms_pID_7253431_00">
    <vt:lpwstr>_2015_ms_pID_7253431</vt:lpwstr>
  </property>
  <property fmtid="{D5CDD505-2E9C-101B-9397-08002B2CF9AE}" pid="18" name="_2015_ms_pID_7253432">
    <vt:lpwstr>wQ==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1683163770</vt:lpwstr>
  </property>
</Properties>
</file>